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#086: Functional Genomics Cross-Platform Comparison &amp; Novel Insights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Compare the functional clustering results from the Angelini DEE gene screen with published functional genomics screens of epilepsy genes (e.g., Bhatt et al., Bhattacharyya et al.) to identify areas of concordance and novel insights unique to the Quiver Optopatch platform.</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Compare the functional clustering results from the Angelini DEE gene screen with published functional genomics screens of epilepsy genes (e.g., Bhatt et al., Bhattacharyya et al.) to identify areas of concordance and novel insights unique to the Quiver Optopatch platform.</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of multiple functional genomics studies, phenotypic data harmonization, and advanced comparative genomics analysis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Systematically identify, retrieve, and curate published functional genomics screens of epilepsy genes including studies using CRISPR knockdown/knockout, morpholino knockdown, RNAi, pharmacological perturbation, and other loss-of-function approaches. Extract functional phenotypes, genes screened, cell systems used, and statistical significance for all epilepsy-related findings. Compile comprehensive functional genomics literature database.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PubMed searches for epilepsy functional genomics</w:t>
      </w:r>
    </w:p>
    <w:p>
      <w:pPr>
        <w:pStyle w:val="ListParagraph"/>
        <w:numPr>
          <w:ilvl w:val="0"/>
          <w:numId w:val="2"/>
        </w:numPr>
      </w:pPr>
      <w:r>
        <w:rPr>
          <w:rFonts w:ascii="Arial" w:cs="Arial" w:eastAsia="Arial" w:hAnsi="Arial"/>
          <w:sz w:val="24"/>
          <w:szCs w:val="24"/>
        </w:rPr>
        <w:t xml:space="preserve">Large-scale CRISPR screen publications</w:t>
      </w:r>
    </w:p>
    <w:p>
      <w:pPr>
        <w:pStyle w:val="ListParagraph"/>
        <w:numPr>
          <w:ilvl w:val="0"/>
          <w:numId w:val="2"/>
        </w:numPr>
      </w:pPr>
      <w:r>
        <w:rPr>
          <w:rFonts w:ascii="Arial" w:cs="Arial" w:eastAsia="Arial" w:hAnsi="Arial"/>
          <w:sz w:val="24"/>
          <w:szCs w:val="24"/>
        </w:rPr>
        <w:t xml:space="preserve">Morpholino and RNAi knockdown studies</w:t>
      </w:r>
    </w:p>
    <w:p>
      <w:pPr>
        <w:pStyle w:val="ListParagraph"/>
        <w:numPr>
          <w:ilvl w:val="0"/>
          <w:numId w:val="2"/>
        </w:numPr>
      </w:pPr>
      <w:r>
        <w:rPr>
          <w:rFonts w:ascii="Arial" w:cs="Arial" w:eastAsia="Arial" w:hAnsi="Arial"/>
          <w:sz w:val="24"/>
          <w:szCs w:val="24"/>
        </w:rPr>
        <w:t xml:space="preserve">Chemical genetic and pharmacological screens</w:t>
      </w:r>
    </w:p>
    <w:p>
      <w:pPr>
        <w:pStyle w:val="ListParagraph"/>
        <w:numPr>
          <w:ilvl w:val="0"/>
          <w:numId w:val="2"/>
        </w:numPr>
      </w:pPr>
      <w:r>
        <w:rPr>
          <w:rFonts w:ascii="Arial" w:cs="Arial" w:eastAsia="Arial" w:hAnsi="Arial"/>
          <w:sz w:val="24"/>
          <w:szCs w:val="24"/>
        </w:rPr>
        <w:t xml:space="preserve">C. elegans and Drosophila epilepsy models</w:t>
      </w:r>
    </w:p>
    <w:p>
      <w:pPr>
        <w:pStyle w:val="ListParagraph"/>
        <w:numPr>
          <w:ilvl w:val="0"/>
          <w:numId w:val="2"/>
        </w:numPr>
      </w:pPr>
      <w:r>
        <w:rPr>
          <w:rFonts w:ascii="Arial" w:cs="Arial" w:eastAsia="Arial" w:hAnsi="Arial"/>
          <w:sz w:val="24"/>
          <w:szCs w:val="24"/>
        </w:rPr>
        <w:t xml:space="preserve">Published supplementary data and raw datasets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PubMed/MEDLINE advanced search API</w:t>
      </w:r>
    </w:p>
    <w:p>
      <w:pPr>
        <w:pStyle w:val="ListParagraph"/>
        <w:numPr>
          <w:ilvl w:val="0"/>
          <w:numId w:val="2"/>
        </w:numPr>
      </w:pPr>
      <w:r>
        <w:rPr>
          <w:rFonts w:ascii="Arial" w:cs="Arial" w:eastAsia="Arial" w:hAnsi="Arial"/>
          <w:sz w:val="24"/>
          <w:szCs w:val="24"/>
        </w:rPr>
        <w:t xml:space="preserve">GEO and ArrayExpress database access</w:t>
      </w:r>
    </w:p>
    <w:p>
      <w:pPr>
        <w:pStyle w:val="ListParagraph"/>
        <w:numPr>
          <w:ilvl w:val="0"/>
          <w:numId w:val="2"/>
        </w:numPr>
      </w:pPr>
      <w:r>
        <w:rPr>
          <w:rFonts w:ascii="Arial" w:cs="Arial" w:eastAsia="Arial" w:hAnsi="Arial"/>
          <w:sz w:val="24"/>
          <w:szCs w:val="24"/>
        </w:rPr>
        <w:t xml:space="preserve">Supplementary data file downloads</w:t>
      </w:r>
    </w:p>
    <w:p>
      <w:pPr>
        <w:pStyle w:val="ListParagraph"/>
        <w:numPr>
          <w:ilvl w:val="0"/>
          <w:numId w:val="2"/>
        </w:numPr>
      </w:pPr>
      <w:r>
        <w:rPr>
          <w:rFonts w:ascii="Arial" w:cs="Arial" w:eastAsia="Arial" w:hAnsi="Arial"/>
          <w:sz w:val="24"/>
          <w:szCs w:val="24"/>
        </w:rPr>
        <w:t xml:space="preserve">PDF text mining for method and result extraction</w:t>
      </w:r>
    </w:p>
    <w:p>
      <w:pPr>
        <w:pStyle w:val="ListParagraph"/>
        <w:numPr>
          <w:ilvl w:val="0"/>
          <w:numId w:val="2"/>
        </w:numPr>
      </w:pPr>
      <w:r>
        <w:rPr>
          <w:rFonts w:ascii="Arial" w:cs="Arial" w:eastAsia="Arial" w:hAnsi="Arial"/>
          <w:sz w:val="24"/>
          <w:szCs w:val="24"/>
        </w:rPr>
        <w:t xml:space="preserve">Reference management software (Mendeley, Zotero)</w:t>
      </w:r>
    </w:p>
    <w:p>
      <w:pPr>
        <w:pStyle w:val="ListParagraph"/>
        <w:numPr>
          <w:ilvl w:val="0"/>
          <w:numId w:val="2"/>
        </w:numPr>
      </w:pPr>
      <w:r>
        <w:rPr>
          <w:rFonts w:ascii="Arial" w:cs="Arial" w:eastAsia="Arial" w:hAnsi="Arial"/>
          <w:sz w:val="24"/>
          <w:szCs w:val="24"/>
        </w:rPr>
        <w:t xml:space="preserve">Data extraction templates and forms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all published functional genomics screens of epilepsy genes in mammalian cells?</w:t>
      </w:r>
    </w:p>
    <w:p>
      <w:pPr>
        <w:pStyle w:val="ListParagraph"/>
        <w:numPr>
          <w:ilvl w:val="0"/>
          <w:numId w:val="2"/>
        </w:numPr>
      </w:pPr>
      <w:r>
        <w:rPr>
          <w:rFonts w:ascii="Arial" w:cs="Arial" w:eastAsia="Arial" w:hAnsi="Arial"/>
          <w:i/>
          <w:iCs/>
          <w:sz w:val="24"/>
          <w:szCs w:val="24"/>
        </w:rPr>
        <w:t xml:space="preserve">How many genes are commonly screened across multiple platforms?</w:t>
      </w:r>
    </w:p>
    <w:p>
      <w:pPr>
        <w:pStyle w:val="ListParagraph"/>
        <w:numPr>
          <w:ilvl w:val="0"/>
          <w:numId w:val="2"/>
        </w:numPr>
      </w:pPr>
      <w:r>
        <w:rPr>
          <w:rFonts w:ascii="Arial" w:cs="Arial" w:eastAsia="Arial" w:hAnsi="Arial"/>
          <w:i/>
          <w:iCs/>
          <w:sz w:val="24"/>
          <w:szCs w:val="24"/>
        </w:rPr>
        <w:t xml:space="preserve">What phenotypes are most consistently reported across different studies?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epilepsy functional genomics literature table (100+ studies)</w:t>
      </w:r>
    </w:p>
    <w:p>
      <w:pPr>
        <w:pStyle w:val="ListParagraph"/>
        <w:numPr>
          <w:ilvl w:val="0"/>
          <w:numId w:val="2"/>
        </w:numPr>
      </w:pPr>
      <w:r>
        <w:rPr>
          <w:rFonts w:ascii="Arial" w:cs="Arial" w:eastAsia="Arial" w:hAnsi="Arial"/>
          <w:sz w:val="24"/>
          <w:szCs w:val="24"/>
        </w:rPr>
        <w:t xml:space="preserve">Curated gene-phenotype interaction matrix</w:t>
      </w:r>
    </w:p>
    <w:p>
      <w:pPr>
        <w:pStyle w:val="ListParagraph"/>
        <w:numPr>
          <w:ilvl w:val="0"/>
          <w:numId w:val="2"/>
        </w:numPr>
      </w:pPr>
      <w:r>
        <w:rPr>
          <w:rFonts w:ascii="Arial" w:cs="Arial" w:eastAsia="Arial" w:hAnsi="Arial"/>
          <w:sz w:val="24"/>
          <w:szCs w:val="24"/>
        </w:rPr>
        <w:t xml:space="preserve">Screening platform comparison table</w:t>
      </w:r>
    </w:p>
    <w:p>
      <w:pPr>
        <w:pStyle w:val="ListParagraph"/>
        <w:numPr>
          <w:ilvl w:val="0"/>
          <w:numId w:val="2"/>
        </w:numPr>
      </w:pPr>
      <w:r>
        <w:rPr>
          <w:rFonts w:ascii="Arial" w:cs="Arial" w:eastAsia="Arial" w:hAnsi="Arial"/>
          <w:sz w:val="24"/>
          <w:szCs w:val="24"/>
        </w:rPr>
        <w:t xml:space="preserve">Phenotype standardization mapping</w:t>
      </w:r>
    </w:p>
    <w:p>
      <w:pPr>
        <w:pStyle w:val="ListParagraph"/>
        <w:numPr>
          <w:ilvl w:val="0"/>
          <w:numId w:val="2"/>
        </w:numPr>
      </w:pPr>
      <w:r>
        <w:rPr>
          <w:rFonts w:ascii="Arial" w:cs="Arial" w:eastAsia="Arial" w:hAnsi="Arial"/>
          <w:sz w:val="24"/>
          <w:szCs w:val="24"/>
        </w:rPr>
        <w:t xml:space="preserve">Data availability assessment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Literature database (CSV/JSON) with structured phenotype annotations and supplementary data compilation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Harmonize phenotype nomenclature and measurements across different functional genomics screens to enable data integration. Map gene-specific phenotypes to standardized phenotypic ontologies (MPO, HPO, PATO). Create unified phenotype scoring system that allows comparison of disparate datasets (e.g., comparing seizure-related phenotypes from mouse models to cell-based electrophysiology measurements).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Phenotype annotations from Stage 1</w:t>
      </w:r>
    </w:p>
    <w:p>
      <w:pPr>
        <w:pStyle w:val="ListParagraph"/>
        <w:numPr>
          <w:ilvl w:val="0"/>
          <w:numId w:val="2"/>
        </w:numPr>
      </w:pPr>
      <w:r>
        <w:rPr>
          <w:rFonts w:ascii="Arial" w:cs="Arial" w:eastAsia="Arial" w:hAnsi="Arial"/>
          <w:sz w:val="24"/>
          <w:szCs w:val="24"/>
        </w:rPr>
        <w:t xml:space="preserve">Mammalian Phenotype Ontology (MPO)</w:t>
      </w:r>
    </w:p>
    <w:p>
      <w:pPr>
        <w:pStyle w:val="ListParagraph"/>
        <w:numPr>
          <w:ilvl w:val="0"/>
          <w:numId w:val="2"/>
        </w:numPr>
      </w:pPr>
      <w:r>
        <w:rPr>
          <w:rFonts w:ascii="Arial" w:cs="Arial" w:eastAsia="Arial" w:hAnsi="Arial"/>
          <w:sz w:val="24"/>
          <w:szCs w:val="24"/>
        </w:rPr>
        <w:t xml:space="preserve">Human Phenotype Ontology (HPO)</w:t>
      </w:r>
    </w:p>
    <w:p>
      <w:pPr>
        <w:pStyle w:val="ListParagraph"/>
        <w:numPr>
          <w:ilvl w:val="0"/>
          <w:numId w:val="2"/>
        </w:numPr>
      </w:pPr>
      <w:r>
        <w:rPr>
          <w:rFonts w:ascii="Arial" w:cs="Arial" w:eastAsia="Arial" w:hAnsi="Arial"/>
          <w:sz w:val="24"/>
          <w:szCs w:val="24"/>
        </w:rPr>
        <w:t xml:space="preserve">Phenotypic Quality Ontology (PATO)</w:t>
      </w:r>
    </w:p>
    <w:p>
      <w:pPr>
        <w:pStyle w:val="ListParagraph"/>
        <w:numPr>
          <w:ilvl w:val="0"/>
          <w:numId w:val="2"/>
        </w:numPr>
      </w:pPr>
      <w:r>
        <w:rPr>
          <w:rFonts w:ascii="Arial" w:cs="Arial" w:eastAsia="Arial" w:hAnsi="Arial"/>
          <w:sz w:val="24"/>
          <w:szCs w:val="24"/>
        </w:rPr>
        <w:t xml:space="preserve">Cell Ontology for cell type classification</w:t>
      </w:r>
    </w:p>
    <w:p>
      <w:pPr>
        <w:pStyle w:val="ListParagraph"/>
        <w:numPr>
          <w:ilvl w:val="0"/>
          <w:numId w:val="2"/>
        </w:numPr>
      </w:pPr>
      <w:r>
        <w:rPr>
          <w:rFonts w:ascii="Arial" w:cs="Arial" w:eastAsia="Arial" w:hAnsi="Arial"/>
          <w:sz w:val="24"/>
          <w:szCs w:val="24"/>
        </w:rPr>
        <w:t xml:space="preserve">Published phenotype harmonization frameworks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Ontology mapping and alignment tools</w:t>
      </w:r>
    </w:p>
    <w:p>
      <w:pPr>
        <w:pStyle w:val="ListParagraph"/>
        <w:numPr>
          <w:ilvl w:val="0"/>
          <w:numId w:val="2"/>
        </w:numPr>
      </w:pPr>
      <w:r>
        <w:rPr>
          <w:rFonts w:ascii="Arial" w:cs="Arial" w:eastAsia="Arial" w:hAnsi="Arial"/>
          <w:sz w:val="24"/>
          <w:szCs w:val="24"/>
        </w:rPr>
        <w:t xml:space="preserve">Semantic similarity calculation (OWL reasoners)</w:t>
      </w:r>
    </w:p>
    <w:p>
      <w:pPr>
        <w:pStyle w:val="ListParagraph"/>
        <w:numPr>
          <w:ilvl w:val="0"/>
          <w:numId w:val="2"/>
        </w:numPr>
      </w:pPr>
      <w:r>
        <w:rPr>
          <w:rFonts w:ascii="Arial" w:cs="Arial" w:eastAsia="Arial" w:hAnsi="Arial"/>
          <w:sz w:val="24"/>
          <w:szCs w:val="24"/>
        </w:rPr>
        <w:t xml:space="preserve">Phenotype search engines (Monarch Initiative)</w:t>
      </w:r>
    </w:p>
    <w:p>
      <w:pPr>
        <w:pStyle w:val="ListParagraph"/>
        <w:numPr>
          <w:ilvl w:val="0"/>
          <w:numId w:val="2"/>
        </w:numPr>
      </w:pPr>
      <w:r>
        <w:rPr>
          <w:rFonts w:ascii="Arial" w:cs="Arial" w:eastAsia="Arial" w:hAnsi="Arial"/>
          <w:sz w:val="24"/>
          <w:szCs w:val="24"/>
        </w:rPr>
        <w:t xml:space="preserve">Custom Python scripts for phenotype standardization</w:t>
      </w:r>
    </w:p>
    <w:p>
      <w:pPr>
        <w:pStyle w:val="ListParagraph"/>
        <w:numPr>
          <w:ilvl w:val="0"/>
          <w:numId w:val="2"/>
        </w:numPr>
      </w:pPr>
      <w:r>
        <w:rPr>
          <w:rFonts w:ascii="Arial" w:cs="Arial" w:eastAsia="Arial" w:hAnsi="Arial"/>
          <w:sz w:val="24"/>
          <w:szCs w:val="24"/>
        </w:rPr>
        <w:t xml:space="preserve">Graph database (Neo4j) for phenotype relationships</w:t>
      </w:r>
    </w:p>
    <w:p>
      <w:pPr>
        <w:pStyle w:val="ListParagraph"/>
        <w:numPr>
          <w:ilvl w:val="0"/>
          <w:numId w:val="2"/>
        </w:numPr>
      </w:pPr>
      <w:r>
        <w:rPr>
          <w:rFonts w:ascii="Arial" w:cs="Arial" w:eastAsia="Arial" w:hAnsi="Arial"/>
          <w:sz w:val="24"/>
          <w:szCs w:val="24"/>
        </w:rPr>
        <w:t xml:space="preserve">Comparative bioinformatics tools (OrthoMCL)</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How can cell-based electrophysiology phenotypes be mapped to organism-level seizure phenotypes?</w:t>
      </w:r>
    </w:p>
    <w:p>
      <w:pPr>
        <w:pStyle w:val="ListParagraph"/>
        <w:numPr>
          <w:ilvl w:val="0"/>
          <w:numId w:val="2"/>
        </w:numPr>
      </w:pPr>
      <w:r>
        <w:rPr>
          <w:rFonts w:ascii="Arial" w:cs="Arial" w:eastAsia="Arial" w:hAnsi="Arial"/>
          <w:i/>
          <w:iCs/>
          <w:sz w:val="24"/>
          <w:szCs w:val="24"/>
        </w:rPr>
        <w:t xml:space="preserve">Which phenotypic descriptors are most consistently applied across different screening platforms?</w:t>
      </w:r>
    </w:p>
    <w:p>
      <w:pPr>
        <w:pStyle w:val="ListParagraph"/>
        <w:numPr>
          <w:ilvl w:val="0"/>
          <w:numId w:val="2"/>
        </w:numPr>
      </w:pPr>
      <w:r>
        <w:rPr>
          <w:rFonts w:ascii="Arial" w:cs="Arial" w:eastAsia="Arial" w:hAnsi="Arial"/>
          <w:i/>
          <w:iCs/>
          <w:sz w:val="24"/>
          <w:szCs w:val="24"/>
        </w:rPr>
        <w:t xml:space="preserve">How should we handle species-specific phenotypes when comparing human, mouse, and invertebrate studies?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Harmonized phenotype ontology mapping</w:t>
      </w:r>
    </w:p>
    <w:p>
      <w:pPr>
        <w:pStyle w:val="ListParagraph"/>
        <w:numPr>
          <w:ilvl w:val="0"/>
          <w:numId w:val="2"/>
        </w:numPr>
      </w:pPr>
      <w:r>
        <w:rPr>
          <w:rFonts w:ascii="Arial" w:cs="Arial" w:eastAsia="Arial" w:hAnsi="Arial"/>
          <w:sz w:val="24"/>
          <w:szCs w:val="24"/>
        </w:rPr>
        <w:t xml:space="preserve">Standardized phenotype scoring system</w:t>
      </w:r>
    </w:p>
    <w:p>
      <w:pPr>
        <w:pStyle w:val="ListParagraph"/>
        <w:numPr>
          <w:ilvl w:val="0"/>
          <w:numId w:val="2"/>
        </w:numPr>
      </w:pPr>
      <w:r>
        <w:rPr>
          <w:rFonts w:ascii="Arial" w:cs="Arial" w:eastAsia="Arial" w:hAnsi="Arial"/>
          <w:sz w:val="24"/>
          <w:szCs w:val="24"/>
        </w:rPr>
        <w:t xml:space="preserve">Cross-platform phenotype equivalency matrix</w:t>
      </w:r>
    </w:p>
    <w:p>
      <w:pPr>
        <w:pStyle w:val="ListParagraph"/>
        <w:numPr>
          <w:ilvl w:val="0"/>
          <w:numId w:val="2"/>
        </w:numPr>
      </w:pPr>
      <w:r>
        <w:rPr>
          <w:rFonts w:ascii="Arial" w:cs="Arial" w:eastAsia="Arial" w:hAnsi="Arial"/>
          <w:sz w:val="24"/>
          <w:szCs w:val="24"/>
        </w:rPr>
        <w:t xml:space="preserve">Phenotype-to-ontology term annotations</w:t>
      </w:r>
    </w:p>
    <w:p>
      <w:pPr>
        <w:pStyle w:val="ListParagraph"/>
        <w:numPr>
          <w:ilvl w:val="0"/>
          <w:numId w:val="2"/>
        </w:numPr>
      </w:pPr>
      <w:r>
        <w:rPr>
          <w:rFonts w:ascii="Arial" w:cs="Arial" w:eastAsia="Arial" w:hAnsi="Arial"/>
          <w:sz w:val="24"/>
          <w:szCs w:val="24"/>
        </w:rPr>
        <w:t xml:space="preserve">Reconciliation of discordant phenotype classifications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Phenotype mapping document (PDF) with ontology alignment tables and standardization specifications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Compare Angelini Optopatch functional clustering with published functional genomics results for overlapping genes. Identify genes showing concordant phenotypes across platforms, genes with discordant results requiring mechanistic investigation, and genes unique to Angelini screen. Quantify similarity of functional clustering patterns using clustering agreement metrics and network-based approaches.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 assignments</w:t>
      </w:r>
    </w:p>
    <w:p>
      <w:pPr>
        <w:pStyle w:val="ListParagraph"/>
        <w:numPr>
          <w:ilvl w:val="0"/>
          <w:numId w:val="2"/>
        </w:numPr>
      </w:pPr>
      <w:r>
        <w:rPr>
          <w:rFonts w:ascii="Arial" w:cs="Arial" w:eastAsia="Arial" w:hAnsi="Arial"/>
          <w:sz w:val="24"/>
          <w:szCs w:val="24"/>
        </w:rPr>
        <w:t xml:space="preserve">Harmonized phenotype data from Stage 2</w:t>
      </w:r>
    </w:p>
    <w:p>
      <w:pPr>
        <w:pStyle w:val="ListParagraph"/>
        <w:numPr>
          <w:ilvl w:val="0"/>
          <w:numId w:val="2"/>
        </w:numPr>
      </w:pPr>
      <w:r>
        <w:rPr>
          <w:rFonts w:ascii="Arial" w:cs="Arial" w:eastAsia="Arial" w:hAnsi="Arial"/>
          <w:sz w:val="24"/>
          <w:szCs w:val="24"/>
        </w:rPr>
        <w:t xml:space="preserve">Mechanistic pathway information</w:t>
      </w:r>
    </w:p>
    <w:p>
      <w:pPr>
        <w:pStyle w:val="ListParagraph"/>
        <w:numPr>
          <w:ilvl w:val="0"/>
          <w:numId w:val="2"/>
        </w:numPr>
      </w:pPr>
      <w:r>
        <w:rPr>
          <w:rFonts w:ascii="Arial" w:cs="Arial" w:eastAsia="Arial" w:hAnsi="Arial"/>
          <w:sz w:val="24"/>
          <w:szCs w:val="24"/>
        </w:rPr>
        <w:t xml:space="preserve">Overlapping gene lists across studies</w:t>
      </w:r>
    </w:p>
    <w:p>
      <w:pPr>
        <w:pStyle w:val="ListParagraph"/>
        <w:numPr>
          <w:ilvl w:val="0"/>
          <w:numId w:val="2"/>
        </w:numPr>
      </w:pPr>
      <w:r>
        <w:rPr>
          <w:rFonts w:ascii="Arial" w:cs="Arial" w:eastAsia="Arial" w:hAnsi="Arial"/>
          <w:sz w:val="24"/>
          <w:szCs w:val="24"/>
        </w:rPr>
        <w:t xml:space="preserve">Statistical concordance assessment metrics</w:t>
      </w:r>
    </w:p>
    <w:p>
      <w:pPr>
        <w:pStyle w:val="ListParagraph"/>
        <w:numPr>
          <w:ilvl w:val="0"/>
          <w:numId w:val="2"/>
        </w:numPr>
      </w:pPr>
      <w:r>
        <w:rPr>
          <w:rFonts w:ascii="Arial" w:cs="Arial" w:eastAsia="Arial" w:hAnsi="Arial"/>
          <w:sz w:val="24"/>
          <w:szCs w:val="24"/>
        </w:rPr>
        <w:t xml:space="preserve">Gene-gene interaction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Clustering comparison metrics (adjusted Rand index, normalized mutual information)</w:t>
      </w:r>
    </w:p>
    <w:p>
      <w:pPr>
        <w:pStyle w:val="ListParagraph"/>
        <w:numPr>
          <w:ilvl w:val="0"/>
          <w:numId w:val="2"/>
        </w:numPr>
      </w:pPr>
      <w:r>
        <w:rPr>
          <w:rFonts w:ascii="Arial" w:cs="Arial" w:eastAsia="Arial" w:hAnsi="Arial"/>
          <w:sz w:val="24"/>
          <w:szCs w:val="24"/>
        </w:rPr>
        <w:t xml:space="preserve">Network comparison tools (NetCom, GraphKernels)</w:t>
      </w:r>
    </w:p>
    <w:p>
      <w:pPr>
        <w:pStyle w:val="ListParagraph"/>
        <w:numPr>
          <w:ilvl w:val="0"/>
          <w:numId w:val="2"/>
        </w:numPr>
      </w:pPr>
      <w:r>
        <w:rPr>
          <w:rFonts w:ascii="Arial" w:cs="Arial" w:eastAsia="Arial" w:hAnsi="Arial"/>
          <w:sz w:val="24"/>
          <w:szCs w:val="24"/>
        </w:rPr>
        <w:t xml:space="preserve">Correlation analysis for phenotype similarity</w:t>
      </w:r>
    </w:p>
    <w:p>
      <w:pPr>
        <w:pStyle w:val="ListParagraph"/>
        <w:numPr>
          <w:ilvl w:val="0"/>
          <w:numId w:val="2"/>
        </w:numPr>
      </w:pPr>
      <w:r>
        <w:rPr>
          <w:rFonts w:ascii="Arial" w:cs="Arial" w:eastAsia="Arial" w:hAnsi="Arial"/>
          <w:sz w:val="24"/>
          <w:szCs w:val="24"/>
        </w:rPr>
        <w:t xml:space="preserve">Jaccard and Sorensen similarity indices</w:t>
      </w:r>
    </w:p>
    <w:p>
      <w:pPr>
        <w:pStyle w:val="ListParagraph"/>
        <w:numPr>
          <w:ilvl w:val="0"/>
          <w:numId w:val="2"/>
        </w:numPr>
      </w:pPr>
      <w:r>
        <w:rPr>
          <w:rFonts w:ascii="Arial" w:cs="Arial" w:eastAsia="Arial" w:hAnsi="Arial"/>
          <w:sz w:val="24"/>
          <w:szCs w:val="24"/>
        </w:rPr>
        <w:t xml:space="preserve">Upset plots for set intersections</w:t>
      </w:r>
    </w:p>
    <w:p>
      <w:pPr>
        <w:pStyle w:val="ListParagraph"/>
        <w:numPr>
          <w:ilvl w:val="0"/>
          <w:numId w:val="2"/>
        </w:numPr>
      </w:pPr>
      <w:r>
        <w:rPr>
          <w:rFonts w:ascii="Arial" w:cs="Arial" w:eastAsia="Arial" w:hAnsi="Arial"/>
          <w:sz w:val="24"/>
          <w:szCs w:val="24"/>
        </w:rPr>
        <w:t xml:space="preserve">Correspondence analysis for clustering patterns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genes show identical functional cluster assignments across Angelini and published screens?</w:t>
      </w:r>
    </w:p>
    <w:p>
      <w:pPr>
        <w:pStyle w:val="ListParagraph"/>
        <w:numPr>
          <w:ilvl w:val="0"/>
          <w:numId w:val="2"/>
        </w:numPr>
      </w:pPr>
      <w:r>
        <w:rPr>
          <w:rFonts w:ascii="Arial" w:cs="Arial" w:eastAsia="Arial" w:hAnsi="Arial"/>
          <w:i/>
          <w:iCs/>
          <w:sz w:val="24"/>
          <w:szCs w:val="24"/>
        </w:rPr>
        <w:t xml:space="preserve">What fraction of DEE genes have complementary phenotypic data from multiple platforms?</w:t>
      </w:r>
    </w:p>
    <w:p>
      <w:pPr>
        <w:pStyle w:val="ListParagraph"/>
        <w:numPr>
          <w:ilvl w:val="0"/>
          <w:numId w:val="2"/>
        </w:numPr>
      </w:pPr>
      <w:r>
        <w:rPr>
          <w:rFonts w:ascii="Arial" w:cs="Arial" w:eastAsia="Arial" w:hAnsi="Arial"/>
          <w:i/>
          <w:iCs/>
          <w:sz w:val="24"/>
          <w:szCs w:val="24"/>
        </w:rPr>
        <w:t xml:space="preserve">For genes with discordant results, what mechanistic explanations account for platform differences?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Concordance analysis comparing Angelini to published results</w:t>
      </w:r>
    </w:p>
    <w:p>
      <w:pPr>
        <w:pStyle w:val="ListParagraph"/>
        <w:numPr>
          <w:ilvl w:val="0"/>
          <w:numId w:val="2"/>
        </w:numPr>
      </w:pPr>
      <w:r>
        <w:rPr>
          <w:rFonts w:ascii="Arial" w:cs="Arial" w:eastAsia="Arial" w:hAnsi="Arial"/>
          <w:sz w:val="24"/>
          <w:szCs w:val="24"/>
        </w:rPr>
        <w:t xml:space="preserve">Discordant gene analysis with mechanistic explanations</w:t>
      </w:r>
    </w:p>
    <w:p>
      <w:pPr>
        <w:pStyle w:val="ListParagraph"/>
        <w:numPr>
          <w:ilvl w:val="0"/>
          <w:numId w:val="2"/>
        </w:numPr>
      </w:pPr>
      <w:r>
        <w:rPr>
          <w:rFonts w:ascii="Arial" w:cs="Arial" w:eastAsia="Arial" w:hAnsi="Arial"/>
          <w:sz w:val="24"/>
          <w:szCs w:val="24"/>
        </w:rPr>
        <w:t xml:space="preserve">Overlap statistics for functional clusters</w:t>
      </w:r>
    </w:p>
    <w:p>
      <w:pPr>
        <w:pStyle w:val="ListParagraph"/>
        <w:numPr>
          <w:ilvl w:val="0"/>
          <w:numId w:val="2"/>
        </w:numPr>
      </w:pPr>
      <w:r>
        <w:rPr>
          <w:rFonts w:ascii="Arial" w:cs="Arial" w:eastAsia="Arial" w:hAnsi="Arial"/>
          <w:sz w:val="24"/>
          <w:szCs w:val="24"/>
        </w:rPr>
        <w:t xml:space="preserve">Gene-specific comparison table with references</w:t>
      </w:r>
    </w:p>
    <w:p>
      <w:pPr>
        <w:pStyle w:val="ListParagraph"/>
        <w:numPr>
          <w:ilvl w:val="0"/>
          <w:numId w:val="2"/>
        </w:numPr>
      </w:pPr>
      <w:r>
        <w:rPr>
          <w:rFonts w:ascii="Arial" w:cs="Arial" w:eastAsia="Arial" w:hAnsi="Arial"/>
          <w:sz w:val="24"/>
          <w:szCs w:val="24"/>
        </w:rPr>
        <w:t xml:space="preserve">Network visualization of concordant and unique findings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Comparative analysis report (PDF) with supporting figures, concordance tables (CSV), and mechanistic annotations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novel insights unique to the Angelini Optopatch platform including functional phenotypes not observed in published screens, unique mechanistic relationships uncovered only in Angelini data, and novel clustering patterns distinguishing LoF from GoF variants. Assess whether these novel insights have mechanistic plausibility and supporting evidence in published literature.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unique functional findings</w:t>
      </w:r>
    </w:p>
    <w:p>
      <w:pPr>
        <w:pStyle w:val="ListParagraph"/>
        <w:numPr>
          <w:ilvl w:val="0"/>
          <w:numId w:val="2"/>
        </w:numPr>
      </w:pPr>
      <w:r>
        <w:rPr>
          <w:rFonts w:ascii="Arial" w:cs="Arial" w:eastAsia="Arial" w:hAnsi="Arial"/>
          <w:sz w:val="24"/>
          <w:szCs w:val="24"/>
        </w:rPr>
        <w:t xml:space="preserve">Published complementary mechanistic studies</w:t>
      </w:r>
    </w:p>
    <w:p>
      <w:pPr>
        <w:pStyle w:val="ListParagraph"/>
        <w:numPr>
          <w:ilvl w:val="0"/>
          <w:numId w:val="2"/>
        </w:numPr>
      </w:pPr>
      <w:r>
        <w:rPr>
          <w:rFonts w:ascii="Arial" w:cs="Arial" w:eastAsia="Arial" w:hAnsi="Arial"/>
          <w:sz w:val="24"/>
          <w:szCs w:val="24"/>
        </w:rPr>
        <w:t xml:space="preserve">Structural and biophysical information for genes</w:t>
      </w:r>
    </w:p>
    <w:p>
      <w:pPr>
        <w:pStyle w:val="ListParagraph"/>
        <w:numPr>
          <w:ilvl w:val="0"/>
          <w:numId w:val="2"/>
        </w:numPr>
      </w:pPr>
      <w:r>
        <w:rPr>
          <w:rFonts w:ascii="Arial" w:cs="Arial" w:eastAsia="Arial" w:hAnsi="Arial"/>
          <w:sz w:val="24"/>
          <w:szCs w:val="24"/>
        </w:rPr>
        <w:t xml:space="preserve">Protein localization and trafficking data</w:t>
      </w:r>
    </w:p>
    <w:p>
      <w:pPr>
        <w:pStyle w:val="ListParagraph"/>
        <w:numPr>
          <w:ilvl w:val="0"/>
          <w:numId w:val="2"/>
        </w:numPr>
      </w:pPr>
      <w:r>
        <w:rPr>
          <w:rFonts w:ascii="Arial" w:cs="Arial" w:eastAsia="Arial" w:hAnsi="Arial"/>
          <w:sz w:val="24"/>
          <w:szCs w:val="24"/>
        </w:rPr>
        <w:t xml:space="preserve">Synaptic transmission and electrophysiology literature</w:t>
      </w:r>
    </w:p>
    <w:p>
      <w:pPr>
        <w:pStyle w:val="ListParagraph"/>
        <w:numPr>
          <w:ilvl w:val="0"/>
          <w:numId w:val="2"/>
        </w:numPr>
      </w:pPr>
      <w:r>
        <w:rPr>
          <w:rFonts w:ascii="Arial" w:cs="Arial" w:eastAsia="Arial" w:hAnsi="Arial"/>
          <w:sz w:val="24"/>
          <w:szCs w:val="24"/>
        </w:rPr>
        <w:t xml:space="preserve">Gene-gene interaction and genetic modifier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Literature PubMed searches for mechanistic support</w:t>
      </w:r>
    </w:p>
    <w:p>
      <w:pPr>
        <w:pStyle w:val="ListParagraph"/>
        <w:numPr>
          <w:ilvl w:val="0"/>
          <w:numId w:val="2"/>
        </w:numPr>
      </w:pPr>
      <w:r>
        <w:rPr>
          <w:rFonts w:ascii="Arial" w:cs="Arial" w:eastAsia="Arial" w:hAnsi="Arial"/>
          <w:sz w:val="24"/>
          <w:szCs w:val="24"/>
        </w:rPr>
        <w:t xml:space="preserve">Protein structure databases (PDB, AlphaFold)</w:t>
      </w:r>
    </w:p>
    <w:p>
      <w:pPr>
        <w:pStyle w:val="ListParagraph"/>
        <w:numPr>
          <w:ilvl w:val="0"/>
          <w:numId w:val="2"/>
        </w:numPr>
      </w:pPr>
      <w:r>
        <w:rPr>
          <w:rFonts w:ascii="Arial" w:cs="Arial" w:eastAsia="Arial" w:hAnsi="Arial"/>
          <w:sz w:val="24"/>
          <w:szCs w:val="24"/>
        </w:rPr>
        <w:t xml:space="preserve">Cellular localization databases (CellMap, Compartments)</w:t>
      </w:r>
    </w:p>
    <w:p>
      <w:pPr>
        <w:pStyle w:val="ListParagraph"/>
        <w:numPr>
          <w:ilvl w:val="0"/>
          <w:numId w:val="2"/>
        </w:numPr>
      </w:pPr>
      <w:r>
        <w:rPr>
          <w:rFonts w:ascii="Arial" w:cs="Arial" w:eastAsia="Arial" w:hAnsi="Arial"/>
          <w:sz w:val="24"/>
          <w:szCs w:val="24"/>
        </w:rPr>
        <w:t xml:space="preserve">Synaptic proteome databases (SynGO)</w:t>
      </w:r>
    </w:p>
    <w:p>
      <w:pPr>
        <w:pStyle w:val="ListParagraph"/>
        <w:numPr>
          <w:ilvl w:val="0"/>
          <w:numId w:val="2"/>
        </w:numPr>
      </w:pPr>
      <w:r>
        <w:rPr>
          <w:rFonts w:ascii="Arial" w:cs="Arial" w:eastAsia="Arial" w:hAnsi="Arial"/>
          <w:sz w:val="24"/>
          <w:szCs w:val="24"/>
        </w:rPr>
        <w:t xml:space="preserve">Pathway analysis tools for mechanistic interpretation</w:t>
      </w:r>
    </w:p>
    <w:p>
      <w:pPr>
        <w:pStyle w:val="ListParagraph"/>
        <w:numPr>
          <w:ilvl w:val="0"/>
          <w:numId w:val="2"/>
        </w:numPr>
      </w:pPr>
      <w:r>
        <w:rPr>
          <w:rFonts w:ascii="Arial" w:cs="Arial" w:eastAsia="Arial" w:hAnsi="Arial"/>
          <w:sz w:val="24"/>
          <w:szCs w:val="24"/>
        </w:rPr>
        <w:t xml:space="preserve">Systems biology modeling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functional phenotypes are unique to Angelini Optopatch compared to published screens?</w:t>
      </w:r>
    </w:p>
    <w:p>
      <w:pPr>
        <w:pStyle w:val="ListParagraph"/>
        <w:numPr>
          <w:ilvl w:val="0"/>
          <w:numId w:val="2"/>
        </w:numPr>
      </w:pPr>
      <w:r>
        <w:rPr>
          <w:rFonts w:ascii="Arial" w:cs="Arial" w:eastAsia="Arial" w:hAnsi="Arial"/>
          <w:i/>
          <w:iCs/>
          <w:sz w:val="24"/>
          <w:szCs w:val="24"/>
        </w:rPr>
        <w:t xml:space="preserve">Can we identify mechanistic explanations for why Optopatch detects phenotypes missed by other platforms?</w:t>
      </w:r>
    </w:p>
    <w:p>
      <w:pPr>
        <w:pStyle w:val="ListParagraph"/>
        <w:numPr>
          <w:ilvl w:val="0"/>
          <w:numId w:val="2"/>
        </w:numPr>
      </w:pPr>
      <w:r>
        <w:rPr>
          <w:rFonts w:ascii="Arial" w:cs="Arial" w:eastAsia="Arial" w:hAnsi="Arial"/>
          <w:i/>
          <w:iCs/>
          <w:sz w:val="24"/>
          <w:szCs w:val="24"/>
        </w:rPr>
        <w:t xml:space="preserve">Are there novel functional relationships or cluster hierarchies revealed by Angelini data?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Novel findings documentation with literature support</w:t>
      </w:r>
    </w:p>
    <w:p>
      <w:pPr>
        <w:pStyle w:val="ListParagraph"/>
        <w:numPr>
          <w:ilvl w:val="0"/>
          <w:numId w:val="2"/>
        </w:numPr>
      </w:pPr>
      <w:r>
        <w:rPr>
          <w:rFonts w:ascii="Arial" w:cs="Arial" w:eastAsia="Arial" w:hAnsi="Arial"/>
          <w:sz w:val="24"/>
          <w:szCs w:val="24"/>
        </w:rPr>
        <w:t xml:space="preserve">Mechanistic interpretation of unique Optopatch discoveries</w:t>
      </w:r>
    </w:p>
    <w:p>
      <w:pPr>
        <w:pStyle w:val="ListParagraph"/>
        <w:numPr>
          <w:ilvl w:val="0"/>
          <w:numId w:val="2"/>
        </w:numPr>
      </w:pPr>
      <w:r>
        <w:rPr>
          <w:rFonts w:ascii="Arial" w:cs="Arial" w:eastAsia="Arial" w:hAnsi="Arial"/>
          <w:sz w:val="24"/>
          <w:szCs w:val="24"/>
        </w:rPr>
        <w:t xml:space="preserve">Hypothesis generation for follow-up studies</w:t>
      </w:r>
    </w:p>
    <w:p>
      <w:pPr>
        <w:pStyle w:val="ListParagraph"/>
        <w:numPr>
          <w:ilvl w:val="0"/>
          <w:numId w:val="2"/>
        </w:numPr>
      </w:pPr>
      <w:r>
        <w:rPr>
          <w:rFonts w:ascii="Arial" w:cs="Arial" w:eastAsia="Arial" w:hAnsi="Arial"/>
          <w:sz w:val="24"/>
          <w:szCs w:val="24"/>
        </w:rPr>
        <w:t xml:space="preserve">Functional phenotype specificity analysis</w:t>
      </w:r>
    </w:p>
    <w:p>
      <w:pPr>
        <w:pStyle w:val="ListParagraph"/>
        <w:numPr>
          <w:ilvl w:val="0"/>
          <w:numId w:val="2"/>
        </w:numPr>
      </w:pPr>
      <w:r>
        <w:rPr>
          <w:rFonts w:ascii="Arial" w:cs="Arial" w:eastAsia="Arial" w:hAnsi="Arial"/>
          <w:sz w:val="24"/>
          <w:szCs w:val="24"/>
        </w:rPr>
        <w:t xml:space="preserve">Platform-specific advantage assessment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Novel insights report (PDF) with supporting mechanistic data and hypothesis documents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technical explanations for concordance and discordance between platforms including differences in knockdown efficiency, off-target effects, cell type and developmental stage specificity, assay sensitivity, and measurement methodology. Determine whether discordant results reflect true biological differences or technical platform limitations. Establish confidence levels for replicated versus platform-specific findings.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Platform methodology comparison data</w:t>
      </w:r>
    </w:p>
    <w:p>
      <w:pPr>
        <w:pStyle w:val="ListParagraph"/>
        <w:numPr>
          <w:ilvl w:val="0"/>
          <w:numId w:val="2"/>
        </w:numPr>
      </w:pPr>
      <w:r>
        <w:rPr>
          <w:rFonts w:ascii="Arial" w:cs="Arial" w:eastAsia="Arial" w:hAnsi="Arial"/>
          <w:sz w:val="24"/>
          <w:szCs w:val="24"/>
        </w:rPr>
        <w:t xml:space="preserve">Knockdown/knockout efficiency information</w:t>
      </w:r>
    </w:p>
    <w:p>
      <w:pPr>
        <w:pStyle w:val="ListParagraph"/>
        <w:numPr>
          <w:ilvl w:val="0"/>
          <w:numId w:val="2"/>
        </w:numPr>
      </w:pPr>
      <w:r>
        <w:rPr>
          <w:rFonts w:ascii="Arial" w:cs="Arial" w:eastAsia="Arial" w:hAnsi="Arial"/>
          <w:sz w:val="24"/>
          <w:szCs w:val="24"/>
        </w:rPr>
        <w:t xml:space="preserve">Off-target effect analyses</w:t>
      </w:r>
    </w:p>
    <w:p>
      <w:pPr>
        <w:pStyle w:val="ListParagraph"/>
        <w:numPr>
          <w:ilvl w:val="0"/>
          <w:numId w:val="2"/>
        </w:numPr>
      </w:pPr>
      <w:r>
        <w:rPr>
          <w:rFonts w:ascii="Arial" w:cs="Arial" w:eastAsia="Arial" w:hAnsi="Arial"/>
          <w:sz w:val="24"/>
          <w:szCs w:val="24"/>
        </w:rPr>
        <w:t xml:space="preserve">Cell type specificity information</w:t>
      </w:r>
    </w:p>
    <w:p>
      <w:pPr>
        <w:pStyle w:val="ListParagraph"/>
        <w:numPr>
          <w:ilvl w:val="0"/>
          <w:numId w:val="2"/>
        </w:numPr>
      </w:pPr>
      <w:r>
        <w:rPr>
          <w:rFonts w:ascii="Arial" w:cs="Arial" w:eastAsia="Arial" w:hAnsi="Arial"/>
          <w:sz w:val="24"/>
          <w:szCs w:val="24"/>
        </w:rPr>
        <w:t xml:space="preserve">Developmental stage of differentiation</w:t>
      </w:r>
    </w:p>
    <w:p>
      <w:pPr>
        <w:pStyle w:val="ListParagraph"/>
        <w:numPr>
          <w:ilvl w:val="0"/>
          <w:numId w:val="2"/>
        </w:numPr>
      </w:pPr>
      <w:r>
        <w:rPr>
          <w:rFonts w:ascii="Arial" w:cs="Arial" w:eastAsia="Arial" w:hAnsi="Arial"/>
          <w:sz w:val="24"/>
          <w:szCs w:val="24"/>
        </w:rPr>
        <w:t xml:space="preserve">Assay detection limit and dynamic range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Off-target prediction tools for CRISPR/RNAi</w:t>
      </w:r>
    </w:p>
    <w:p>
      <w:pPr>
        <w:pStyle w:val="ListParagraph"/>
        <w:numPr>
          <w:ilvl w:val="0"/>
          <w:numId w:val="2"/>
        </w:numPr>
      </w:pPr>
      <w:r>
        <w:rPr>
          <w:rFonts w:ascii="Arial" w:cs="Arial" w:eastAsia="Arial" w:hAnsi="Arial"/>
          <w:sz w:val="24"/>
          <w:szCs w:val="24"/>
        </w:rPr>
        <w:t xml:space="preserve">Knockdown efficiency analysis software</w:t>
      </w:r>
    </w:p>
    <w:p>
      <w:pPr>
        <w:pStyle w:val="ListParagraph"/>
        <w:numPr>
          <w:ilvl w:val="0"/>
          <w:numId w:val="2"/>
        </w:numPr>
      </w:pPr>
      <w:r>
        <w:rPr>
          <w:rFonts w:ascii="Arial" w:cs="Arial" w:eastAsia="Arial" w:hAnsi="Arial"/>
          <w:sz w:val="24"/>
          <w:szCs w:val="24"/>
        </w:rPr>
        <w:t xml:space="preserve">Cell type marker gene expression analysis</w:t>
      </w:r>
    </w:p>
    <w:p>
      <w:pPr>
        <w:pStyle w:val="ListParagraph"/>
        <w:numPr>
          <w:ilvl w:val="0"/>
          <w:numId w:val="2"/>
        </w:numPr>
      </w:pPr>
      <w:r>
        <w:rPr>
          <w:rFonts w:ascii="Arial" w:cs="Arial" w:eastAsia="Arial" w:hAnsi="Arial"/>
          <w:sz w:val="24"/>
          <w:szCs w:val="24"/>
        </w:rPr>
        <w:t xml:space="preserve">Developmental transcriptomics databases</w:t>
      </w:r>
    </w:p>
    <w:p>
      <w:pPr>
        <w:pStyle w:val="ListParagraph"/>
        <w:numPr>
          <w:ilvl w:val="0"/>
          <w:numId w:val="2"/>
        </w:numPr>
      </w:pPr>
      <w:r>
        <w:rPr>
          <w:rFonts w:ascii="Arial" w:cs="Arial" w:eastAsia="Arial" w:hAnsi="Arial"/>
          <w:sz w:val="24"/>
          <w:szCs w:val="24"/>
        </w:rPr>
        <w:t xml:space="preserve">Statistical power analysis for different assay sensitivities</w:t>
      </w:r>
    </w:p>
    <w:p>
      <w:pPr>
        <w:pStyle w:val="ListParagraph"/>
        <w:numPr>
          <w:ilvl w:val="0"/>
          <w:numId w:val="2"/>
        </w:numPr>
      </w:pPr>
      <w:r>
        <w:rPr>
          <w:rFonts w:ascii="Arial" w:cs="Arial" w:eastAsia="Arial" w:hAnsi="Arial"/>
          <w:sz w:val="24"/>
          <w:szCs w:val="24"/>
        </w:rPr>
        <w:t xml:space="preserve">Meta-analysis for effect size estimation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Are technical limitations of specific platforms explaining discordant results?</w:t>
      </w:r>
    </w:p>
    <w:p>
      <w:pPr>
        <w:pStyle w:val="ListParagraph"/>
        <w:numPr>
          <w:ilvl w:val="0"/>
          <w:numId w:val="2"/>
        </w:numPr>
      </w:pPr>
      <w:r>
        <w:rPr>
          <w:rFonts w:ascii="Arial" w:cs="Arial" w:eastAsia="Arial" w:hAnsi="Arial"/>
          <w:i/>
          <w:iCs/>
          <w:sz w:val="24"/>
          <w:szCs w:val="24"/>
        </w:rPr>
        <w:t xml:space="preserve">How does knockdown efficiency affect the reproducibility of functional phenotypes?</w:t>
      </w:r>
    </w:p>
    <w:p>
      <w:pPr>
        <w:pStyle w:val="ListParagraph"/>
        <w:numPr>
          <w:ilvl w:val="0"/>
          <w:numId w:val="2"/>
        </w:numPr>
      </w:pPr>
      <w:r>
        <w:rPr>
          <w:rFonts w:ascii="Arial" w:cs="Arial" w:eastAsia="Arial" w:hAnsi="Arial"/>
          <w:i/>
          <w:iCs/>
          <w:sz w:val="24"/>
          <w:szCs w:val="24"/>
        </w:rPr>
        <w:t xml:space="preserve">Does cell type or developmental stage specificity account for platform differences?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Technical platform comparison analysis</w:t>
      </w:r>
    </w:p>
    <w:p>
      <w:pPr>
        <w:pStyle w:val="ListParagraph"/>
        <w:numPr>
          <w:ilvl w:val="0"/>
          <w:numId w:val="2"/>
        </w:numPr>
      </w:pPr>
      <w:r>
        <w:rPr>
          <w:rFonts w:ascii="Arial" w:cs="Arial" w:eastAsia="Arial" w:hAnsi="Arial"/>
          <w:sz w:val="24"/>
          <w:szCs w:val="24"/>
        </w:rPr>
        <w:t xml:space="preserve">Knockdown efficiency assessment by study</w:t>
      </w:r>
    </w:p>
    <w:p>
      <w:pPr>
        <w:pStyle w:val="ListParagraph"/>
        <w:numPr>
          <w:ilvl w:val="0"/>
          <w:numId w:val="2"/>
        </w:numPr>
      </w:pPr>
      <w:r>
        <w:rPr>
          <w:rFonts w:ascii="Arial" w:cs="Arial" w:eastAsia="Arial" w:hAnsi="Arial"/>
          <w:sz w:val="24"/>
          <w:szCs w:val="24"/>
        </w:rPr>
        <w:t xml:space="preserve">Off-target effect contribution estimation</w:t>
      </w:r>
    </w:p>
    <w:p>
      <w:pPr>
        <w:pStyle w:val="ListParagraph"/>
        <w:numPr>
          <w:ilvl w:val="0"/>
          <w:numId w:val="2"/>
        </w:numPr>
      </w:pPr>
      <w:r>
        <w:rPr>
          <w:rFonts w:ascii="Arial" w:cs="Arial" w:eastAsia="Arial" w:hAnsi="Arial"/>
          <w:sz w:val="24"/>
          <w:szCs w:val="24"/>
        </w:rPr>
        <w:t xml:space="preserve">Cell type and developmental stage specificity analysis</w:t>
      </w:r>
    </w:p>
    <w:p>
      <w:pPr>
        <w:pStyle w:val="ListParagraph"/>
        <w:numPr>
          <w:ilvl w:val="0"/>
          <w:numId w:val="2"/>
        </w:numPr>
      </w:pPr>
      <w:r>
        <w:rPr>
          <w:rFonts w:ascii="Arial" w:cs="Arial" w:eastAsia="Arial" w:hAnsi="Arial"/>
          <w:sz w:val="24"/>
          <w:szCs w:val="24"/>
        </w:rPr>
        <w:t xml:space="preserve">Confidence classification for replicated findings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Technical analysis report (PDF) with detailed methodology comparison tables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comprehensive comparison and interpretation document highlighting convergent findings supporting cluster assignments, notable discordant results, and novel Optopatch discoveries. Prepare publication-ready figures comparing functional phenotypes across platforms. Generate recommendations for future functional genomics studies informed by cross-platform learnings. Create data integration framework enabling ongoing comparison as new studies emerge.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prior comparative analyses</w:t>
      </w:r>
    </w:p>
    <w:p>
      <w:pPr>
        <w:pStyle w:val="ListParagraph"/>
        <w:numPr>
          <w:ilvl w:val="0"/>
          <w:numId w:val="2"/>
        </w:numPr>
      </w:pPr>
      <w:r>
        <w:rPr>
          <w:rFonts w:ascii="Arial" w:cs="Arial" w:eastAsia="Arial" w:hAnsi="Arial"/>
          <w:sz w:val="24"/>
          <w:szCs w:val="24"/>
        </w:rPr>
        <w:t xml:space="preserve">Concordance and discordance assessments</w:t>
      </w:r>
    </w:p>
    <w:p>
      <w:pPr>
        <w:pStyle w:val="ListParagraph"/>
        <w:numPr>
          <w:ilvl w:val="0"/>
          <w:numId w:val="2"/>
        </w:numPr>
      </w:pPr>
      <w:r>
        <w:rPr>
          <w:rFonts w:ascii="Arial" w:cs="Arial" w:eastAsia="Arial" w:hAnsi="Arial"/>
          <w:sz w:val="24"/>
          <w:szCs w:val="24"/>
        </w:rPr>
        <w:t xml:space="preserve">Technical explanation analyses</w:t>
      </w:r>
    </w:p>
    <w:p>
      <w:pPr>
        <w:pStyle w:val="ListParagraph"/>
        <w:numPr>
          <w:ilvl w:val="0"/>
          <w:numId w:val="2"/>
        </w:numPr>
      </w:pPr>
      <w:r>
        <w:rPr>
          <w:rFonts w:ascii="Arial" w:cs="Arial" w:eastAsia="Arial" w:hAnsi="Arial"/>
          <w:sz w:val="24"/>
          <w:szCs w:val="24"/>
        </w:rPr>
        <w:t xml:space="preserve">Novel findings documentation</w:t>
      </w:r>
    </w:p>
    <w:p>
      <w:pPr>
        <w:pStyle w:val="ListParagraph"/>
        <w:numPr>
          <w:ilvl w:val="0"/>
          <w:numId w:val="2"/>
        </w:numPr>
      </w:pPr>
      <w:r>
        <w:rPr>
          <w:rFonts w:ascii="Arial" w:cs="Arial" w:eastAsia="Arial" w:hAnsi="Arial"/>
          <w:sz w:val="24"/>
          <w:szCs w:val="24"/>
        </w:rPr>
        <w:t xml:space="preserve">Publication-quality figures and tables</w:t>
      </w:r>
    </w:p>
    <w:p>
      <w:pPr>
        <w:pStyle w:val="ListParagraph"/>
        <w:numPr>
          <w:ilvl w:val="0"/>
          <w:numId w:val="2"/>
        </w:numPr>
      </w:pPr>
      <w:r>
        <w:rPr>
          <w:rFonts w:ascii="Arial" w:cs="Arial" w:eastAsia="Arial" w:hAnsi="Arial"/>
          <w:sz w:val="24"/>
          <w:szCs w:val="24"/>
        </w:rPr>
        <w:t xml:space="preserve">Future research recommendations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Publication preparation software (LaTeX, Office)</w:t>
      </w:r>
    </w:p>
    <w:p>
      <w:pPr>
        <w:pStyle w:val="ListParagraph"/>
        <w:numPr>
          <w:ilvl w:val="0"/>
          <w:numId w:val="2"/>
        </w:numPr>
      </w:pPr>
      <w:r>
        <w:rPr>
          <w:rFonts w:ascii="Arial" w:cs="Arial" w:eastAsia="Arial" w:hAnsi="Arial"/>
          <w:sz w:val="24"/>
          <w:szCs w:val="24"/>
        </w:rPr>
        <w:t xml:space="preserve">Statistical visualization (ggplot2, plotly)</w:t>
      </w:r>
    </w:p>
    <w:p>
      <w:pPr>
        <w:pStyle w:val="ListParagraph"/>
        <w:numPr>
          <w:ilvl w:val="0"/>
          <w:numId w:val="2"/>
        </w:numPr>
      </w:pPr>
      <w:r>
        <w:rPr>
          <w:rFonts w:ascii="Arial" w:cs="Arial" w:eastAsia="Arial" w:hAnsi="Arial"/>
          <w:sz w:val="24"/>
          <w:szCs w:val="24"/>
        </w:rPr>
        <w:t xml:space="preserve">Network visualization for integrated findings</w:t>
      </w:r>
    </w:p>
    <w:p>
      <w:pPr>
        <w:pStyle w:val="ListParagraph"/>
        <w:numPr>
          <w:ilvl w:val="0"/>
          <w:numId w:val="2"/>
        </w:numPr>
      </w:pPr>
      <w:r>
        <w:rPr>
          <w:rFonts w:ascii="Arial" w:cs="Arial" w:eastAsia="Arial" w:hAnsi="Arial"/>
          <w:sz w:val="24"/>
          <w:szCs w:val="24"/>
        </w:rPr>
        <w:t xml:space="preserve">Comparative genomics tools for ongoing updates</w:t>
      </w:r>
    </w:p>
    <w:p>
      <w:pPr>
        <w:pStyle w:val="ListParagraph"/>
        <w:numPr>
          <w:ilvl w:val="0"/>
          <w:numId w:val="2"/>
        </w:numPr>
      </w:pPr>
      <w:r>
        <w:rPr>
          <w:rFonts w:ascii="Arial" w:cs="Arial" w:eastAsia="Arial" w:hAnsi="Arial"/>
          <w:sz w:val="24"/>
          <w:szCs w:val="24"/>
        </w:rPr>
        <w:t xml:space="preserve">Version control for evolving comparisons</w:t>
      </w:r>
    </w:p>
    <w:p>
      <w:pPr>
        <w:pStyle w:val="ListParagraph"/>
        <w:numPr>
          <w:ilvl w:val="0"/>
          <w:numId w:val="2"/>
        </w:numPr>
      </w:pPr>
      <w:r>
        <w:rPr>
          <w:rFonts w:ascii="Arial" w:cs="Arial" w:eastAsia="Arial" w:hAnsi="Arial"/>
          <w:sz w:val="24"/>
          <w:szCs w:val="24"/>
        </w:rPr>
        <w:t xml:space="preserve">Open science platforms for community input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most impactful concordant findings supporting the Angelini classification?</w:t>
      </w:r>
    </w:p>
    <w:p>
      <w:pPr>
        <w:pStyle w:val="ListParagraph"/>
        <w:numPr>
          <w:ilvl w:val="0"/>
          <w:numId w:val="2"/>
        </w:numPr>
      </w:pPr>
      <w:r>
        <w:rPr>
          <w:rFonts w:ascii="Arial" w:cs="Arial" w:eastAsia="Arial" w:hAnsi="Arial"/>
          <w:i/>
          <w:iCs/>
          <w:sz w:val="24"/>
          <w:szCs w:val="24"/>
        </w:rPr>
        <w:t xml:space="preserve">What novel discoveries from Angelini should be highlighted in a comprehensive comparison publication?</w:t>
      </w:r>
    </w:p>
    <w:p>
      <w:pPr>
        <w:pStyle w:val="ListParagraph"/>
        <w:numPr>
          <w:ilvl w:val="0"/>
          <w:numId w:val="2"/>
        </w:numPr>
      </w:pPr>
      <w:r>
        <w:rPr>
          <w:rFonts w:ascii="Arial" w:cs="Arial" w:eastAsia="Arial" w:hAnsi="Arial"/>
          <w:i/>
          <w:iCs/>
          <w:sz w:val="24"/>
          <w:szCs w:val="24"/>
        </w:rPr>
        <w:t xml:space="preserve">How should functional genomics platforms be coordinated in future DEE research?</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cross-platform comparison publication document</w:t>
      </w:r>
    </w:p>
    <w:p>
      <w:pPr>
        <w:pStyle w:val="ListParagraph"/>
        <w:numPr>
          <w:ilvl w:val="0"/>
          <w:numId w:val="2"/>
        </w:numPr>
      </w:pPr>
      <w:r>
        <w:rPr>
          <w:rFonts w:ascii="Arial" w:cs="Arial" w:eastAsia="Arial" w:hAnsi="Arial"/>
          <w:sz w:val="24"/>
          <w:szCs w:val="24"/>
        </w:rPr>
        <w:t xml:space="preserve">Publication-ready comparison figures (8-12)</w:t>
      </w:r>
    </w:p>
    <w:p>
      <w:pPr>
        <w:pStyle w:val="ListParagraph"/>
        <w:numPr>
          <w:ilvl w:val="0"/>
          <w:numId w:val="2"/>
        </w:numPr>
      </w:pPr>
      <w:r>
        <w:rPr>
          <w:rFonts w:ascii="Arial" w:cs="Arial" w:eastAsia="Arial" w:hAnsi="Arial"/>
          <w:sz w:val="24"/>
          <w:szCs w:val="24"/>
        </w:rPr>
        <w:t xml:space="preserve">Supplementary comparison tables and datasets</w:t>
      </w:r>
    </w:p>
    <w:p>
      <w:pPr>
        <w:pStyle w:val="ListParagraph"/>
        <w:numPr>
          <w:ilvl w:val="0"/>
          <w:numId w:val="2"/>
        </w:numPr>
      </w:pPr>
      <w:r>
        <w:rPr>
          <w:rFonts w:ascii="Arial" w:cs="Arial" w:eastAsia="Arial" w:hAnsi="Arial"/>
          <w:sz w:val="24"/>
          <w:szCs w:val="24"/>
        </w:rPr>
        <w:t xml:space="preserve">Framework for ongoing platform harmonization</w:t>
      </w:r>
    </w:p>
    <w:p>
      <w:pPr>
        <w:pStyle w:val="ListParagraph"/>
        <w:numPr>
          <w:ilvl w:val="0"/>
          <w:numId w:val="2"/>
        </w:numPr>
      </w:pPr>
      <w:r>
        <w:rPr>
          <w:rFonts w:ascii="Arial" w:cs="Arial" w:eastAsia="Arial" w:hAnsi="Arial"/>
          <w:sz w:val="24"/>
          <w:szCs w:val="24"/>
        </w:rPr>
        <w:t xml:space="preserve">Future functional genomics research recommendations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Publication manuscript (PDF) with supplementary materials, open-access data tables, and methodological framework</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PubMed/MEDLINE advanced search API</w:t>
      </w:r>
    </w:p>
    <w:p>
      <w:pPr>
        <w:pStyle w:val="ListParagraph"/>
        <w:numPr>
          <w:ilvl w:val="0"/>
          <w:numId w:val="2"/>
        </w:numPr>
      </w:pPr>
      <w:r>
        <w:rPr>
          <w:rFonts w:ascii="Arial" w:cs="Arial" w:eastAsia="Arial" w:hAnsi="Arial"/>
          <w:sz w:val="24"/>
          <w:szCs w:val="24"/>
        </w:rPr>
        <w:t xml:space="preserve">GEO Gene Expression Omnibus database</w:t>
      </w:r>
    </w:p>
    <w:p>
      <w:pPr>
        <w:pStyle w:val="ListParagraph"/>
        <w:numPr>
          <w:ilvl w:val="0"/>
          <w:numId w:val="2"/>
        </w:numPr>
      </w:pPr>
      <w:r>
        <w:rPr>
          <w:rFonts w:ascii="Arial" w:cs="Arial" w:eastAsia="Arial" w:hAnsi="Arial"/>
          <w:sz w:val="24"/>
          <w:szCs w:val="24"/>
        </w:rPr>
        <w:t xml:space="preserve">ArrayExpress functional genomics data</w:t>
      </w:r>
    </w:p>
    <w:p>
      <w:pPr>
        <w:pStyle w:val="ListParagraph"/>
        <w:numPr>
          <w:ilvl w:val="0"/>
          <w:numId w:val="2"/>
        </w:numPr>
      </w:pPr>
      <w:r>
        <w:rPr>
          <w:rFonts w:ascii="Arial" w:cs="Arial" w:eastAsia="Arial" w:hAnsi="Arial"/>
          <w:sz w:val="24"/>
          <w:szCs w:val="24"/>
        </w:rPr>
        <w:t xml:space="preserve">PDF text mining and data extraction tools</w:t>
      </w:r>
    </w:p>
    <w:p>
      <w:pPr>
        <w:pStyle w:val="ListParagraph"/>
        <w:numPr>
          <w:ilvl w:val="0"/>
          <w:numId w:val="2"/>
        </w:numPr>
      </w:pPr>
      <w:r>
        <w:rPr>
          <w:rFonts w:ascii="Arial" w:cs="Arial" w:eastAsia="Arial" w:hAnsi="Arial"/>
          <w:sz w:val="24"/>
          <w:szCs w:val="24"/>
        </w:rPr>
        <w:t xml:space="preserve">Mendeley reference management software</w:t>
      </w:r>
    </w:p>
    <w:p>
      <w:pPr>
        <w:pStyle w:val="ListParagraph"/>
        <w:numPr>
          <w:ilvl w:val="0"/>
          <w:numId w:val="2"/>
        </w:numPr>
      </w:pPr>
      <w:r>
        <w:rPr>
          <w:rFonts w:ascii="Arial" w:cs="Arial" w:eastAsia="Arial" w:hAnsi="Arial"/>
          <w:sz w:val="24"/>
          <w:szCs w:val="24"/>
        </w:rPr>
        <w:t xml:space="preserve">Zotero collaborative reference management</w:t>
      </w:r>
    </w:p>
    <w:p>
      <w:pPr>
        <w:pStyle w:val="ListParagraph"/>
        <w:numPr>
          <w:ilvl w:val="0"/>
          <w:numId w:val="2"/>
        </w:numPr>
      </w:pPr>
      <w:r>
        <w:rPr>
          <w:rFonts w:ascii="Arial" w:cs="Arial" w:eastAsia="Arial" w:hAnsi="Arial"/>
          <w:sz w:val="24"/>
          <w:szCs w:val="24"/>
        </w:rPr>
        <w:t xml:space="preserve">Mammalian Phenotype Ontology (MPO)</w:t>
      </w:r>
    </w:p>
    <w:p>
      <w:pPr>
        <w:pStyle w:val="ListParagraph"/>
        <w:numPr>
          <w:ilvl w:val="0"/>
          <w:numId w:val="2"/>
        </w:numPr>
      </w:pPr>
      <w:r>
        <w:rPr>
          <w:rFonts w:ascii="Arial" w:cs="Arial" w:eastAsia="Arial" w:hAnsi="Arial"/>
          <w:sz w:val="24"/>
          <w:szCs w:val="24"/>
        </w:rPr>
        <w:t xml:space="preserve">Human Phenotype Ontology (HPO)</w:t>
      </w:r>
    </w:p>
    <w:p>
      <w:pPr>
        <w:pStyle w:val="ListParagraph"/>
        <w:numPr>
          <w:ilvl w:val="0"/>
          <w:numId w:val="2"/>
        </w:numPr>
      </w:pPr>
      <w:r>
        <w:rPr>
          <w:rFonts w:ascii="Arial" w:cs="Arial" w:eastAsia="Arial" w:hAnsi="Arial"/>
          <w:sz w:val="24"/>
          <w:szCs w:val="24"/>
        </w:rPr>
        <w:t xml:space="preserve">Phenotypic Quality Ontology (PATO)</w:t>
      </w:r>
    </w:p>
    <w:p>
      <w:pPr>
        <w:pStyle w:val="ListParagraph"/>
        <w:numPr>
          <w:ilvl w:val="0"/>
          <w:numId w:val="2"/>
        </w:numPr>
      </w:pPr>
      <w:r>
        <w:rPr>
          <w:rFonts w:ascii="Arial" w:cs="Arial" w:eastAsia="Arial" w:hAnsi="Arial"/>
          <w:sz w:val="24"/>
          <w:szCs w:val="24"/>
        </w:rPr>
        <w:t xml:space="preserve">Cell Ontology for cell classification</w:t>
      </w:r>
    </w:p>
    <w:p>
      <w:pPr>
        <w:pStyle w:val="ListParagraph"/>
        <w:numPr>
          <w:ilvl w:val="0"/>
          <w:numId w:val="2"/>
        </w:numPr>
      </w:pPr>
      <w:r>
        <w:rPr>
          <w:rFonts w:ascii="Arial" w:cs="Arial" w:eastAsia="Arial" w:hAnsi="Arial"/>
          <w:sz w:val="24"/>
          <w:szCs w:val="24"/>
        </w:rPr>
        <w:t xml:space="preserve">Monarch Initiative phenotype search</w:t>
      </w:r>
    </w:p>
    <w:p>
      <w:pPr>
        <w:pStyle w:val="ListParagraph"/>
        <w:numPr>
          <w:ilvl w:val="0"/>
          <w:numId w:val="2"/>
        </w:numPr>
      </w:pPr>
      <w:r>
        <w:rPr>
          <w:rFonts w:ascii="Arial" w:cs="Arial" w:eastAsia="Arial" w:hAnsi="Arial"/>
          <w:sz w:val="24"/>
          <w:szCs w:val="24"/>
        </w:rPr>
        <w:t xml:space="preserve">OWL semantic reasoners for ontology mapping</w:t>
      </w:r>
    </w:p>
    <w:p>
      <w:pPr>
        <w:pStyle w:val="ListParagraph"/>
        <w:numPr>
          <w:ilvl w:val="0"/>
          <w:numId w:val="2"/>
        </w:numPr>
      </w:pPr>
      <w:r>
        <w:rPr>
          <w:rFonts w:ascii="Arial" w:cs="Arial" w:eastAsia="Arial" w:hAnsi="Arial"/>
          <w:sz w:val="24"/>
          <w:szCs w:val="24"/>
        </w:rPr>
        <w:t xml:space="preserve">Neo4j graph database for phenotype networks</w:t>
      </w:r>
    </w:p>
    <w:p>
      <w:pPr>
        <w:pStyle w:val="ListParagraph"/>
        <w:numPr>
          <w:ilvl w:val="0"/>
          <w:numId w:val="2"/>
        </w:numPr>
      </w:pPr>
      <w:r>
        <w:rPr>
          <w:rFonts w:ascii="Arial" w:cs="Arial" w:eastAsia="Arial" w:hAnsi="Arial"/>
          <w:sz w:val="24"/>
          <w:szCs w:val="24"/>
        </w:rPr>
        <w:t xml:space="preserve">OrthoMCL orthology database</w:t>
      </w:r>
    </w:p>
    <w:p>
      <w:pPr>
        <w:pStyle w:val="ListParagraph"/>
        <w:numPr>
          <w:ilvl w:val="0"/>
          <w:numId w:val="2"/>
        </w:numPr>
      </w:pPr>
      <w:r>
        <w:rPr>
          <w:rFonts w:ascii="Arial" w:cs="Arial" w:eastAsia="Arial" w:hAnsi="Arial"/>
          <w:sz w:val="24"/>
          <w:szCs w:val="24"/>
        </w:rPr>
        <w:t xml:space="preserve">Clustering agreement metrics (Rand index)</w:t>
      </w:r>
    </w:p>
    <w:p>
      <w:pPr>
        <w:pStyle w:val="ListParagraph"/>
        <w:numPr>
          <w:ilvl w:val="0"/>
          <w:numId w:val="2"/>
        </w:numPr>
      </w:pPr>
      <w:r>
        <w:rPr>
          <w:rFonts w:ascii="Arial" w:cs="Arial" w:eastAsia="Arial" w:hAnsi="Arial"/>
          <w:sz w:val="24"/>
          <w:szCs w:val="24"/>
        </w:rPr>
        <w:t xml:space="preserve">Network comparison tools (NetCom)</w:t>
      </w:r>
    </w:p>
    <w:p>
      <w:pPr>
        <w:pStyle w:val="ListParagraph"/>
        <w:numPr>
          <w:ilvl w:val="0"/>
          <w:numId w:val="2"/>
        </w:numPr>
      </w:pPr>
      <w:r>
        <w:rPr>
          <w:rFonts w:ascii="Arial" w:cs="Arial" w:eastAsia="Arial" w:hAnsi="Arial"/>
          <w:sz w:val="24"/>
          <w:szCs w:val="24"/>
        </w:rPr>
        <w:t xml:space="preserve">Upset plot visualization for intersections</w:t>
      </w:r>
    </w:p>
    <w:p>
      <w:pPr>
        <w:pStyle w:val="ListParagraph"/>
        <w:numPr>
          <w:ilvl w:val="0"/>
          <w:numId w:val="2"/>
        </w:numPr>
      </w:pPr>
      <w:r>
        <w:rPr>
          <w:rFonts w:ascii="Arial" w:cs="Arial" w:eastAsia="Arial" w:hAnsi="Arial"/>
          <w:sz w:val="24"/>
          <w:szCs w:val="24"/>
        </w:rPr>
        <w:t xml:space="preserve">Correspondence analysis for patterns</w:t>
      </w:r>
    </w:p>
    <w:p>
      <w:pPr>
        <w:pStyle w:val="ListParagraph"/>
        <w:numPr>
          <w:ilvl w:val="0"/>
          <w:numId w:val="2"/>
        </w:numPr>
      </w:pPr>
      <w:r>
        <w:rPr>
          <w:rFonts w:ascii="Arial" w:cs="Arial" w:eastAsia="Arial" w:hAnsi="Arial"/>
          <w:sz w:val="24"/>
          <w:szCs w:val="24"/>
        </w:rPr>
        <w:t xml:space="preserve">PubMed literature search for mechanism</w:t>
      </w:r>
    </w:p>
    <w:p>
      <w:pPr>
        <w:pStyle w:val="ListParagraph"/>
        <w:numPr>
          <w:ilvl w:val="0"/>
          <w:numId w:val="2"/>
        </w:numPr>
      </w:pPr>
      <w:r>
        <w:rPr>
          <w:rFonts w:ascii="Arial" w:cs="Arial" w:eastAsia="Arial" w:hAnsi="Arial"/>
          <w:sz w:val="24"/>
          <w:szCs w:val="24"/>
        </w:rPr>
        <w:t xml:space="preserve">PDB protein structure database</w:t>
      </w:r>
    </w:p>
    <w:p>
      <w:pPr>
        <w:pStyle w:val="ListParagraph"/>
        <w:numPr>
          <w:ilvl w:val="0"/>
          <w:numId w:val="2"/>
        </w:numPr>
      </w:pPr>
      <w:r>
        <w:rPr>
          <w:rFonts w:ascii="Arial" w:cs="Arial" w:eastAsia="Arial" w:hAnsi="Arial"/>
          <w:sz w:val="24"/>
          <w:szCs w:val="24"/>
        </w:rPr>
        <w:t xml:space="preserve">AlphaFold predicted structures</w:t>
      </w:r>
    </w:p>
    <w:p>
      <w:pPr>
        <w:pStyle w:val="ListParagraph"/>
        <w:numPr>
          <w:ilvl w:val="0"/>
          <w:numId w:val="2"/>
        </w:numPr>
      </w:pPr>
      <w:r>
        <w:rPr>
          <w:rFonts w:ascii="Arial" w:cs="Arial" w:eastAsia="Arial" w:hAnsi="Arial"/>
          <w:sz w:val="24"/>
          <w:szCs w:val="24"/>
        </w:rPr>
        <w:t xml:space="preserve">CellMap cellular localization database</w:t>
      </w:r>
    </w:p>
    <w:p>
      <w:pPr>
        <w:pStyle w:val="ListParagraph"/>
        <w:numPr>
          <w:ilvl w:val="0"/>
          <w:numId w:val="2"/>
        </w:numPr>
      </w:pPr>
      <w:r>
        <w:rPr>
          <w:rFonts w:ascii="Arial" w:cs="Arial" w:eastAsia="Arial" w:hAnsi="Arial"/>
          <w:sz w:val="24"/>
          <w:szCs w:val="24"/>
        </w:rPr>
        <w:t xml:space="preserve">Compartments cellular component database</w:t>
      </w:r>
    </w:p>
    <w:p>
      <w:pPr>
        <w:pStyle w:val="ListParagraph"/>
        <w:numPr>
          <w:ilvl w:val="0"/>
          <w:numId w:val="2"/>
        </w:numPr>
      </w:pPr>
      <w:r>
        <w:rPr>
          <w:rFonts w:ascii="Arial" w:cs="Arial" w:eastAsia="Arial" w:hAnsi="Arial"/>
          <w:sz w:val="24"/>
          <w:szCs w:val="24"/>
        </w:rPr>
        <w:t xml:space="preserve">SynGO synaptic protein database</w:t>
      </w:r>
    </w:p>
    <w:p>
      <w:pPr>
        <w:pStyle w:val="ListParagraph"/>
        <w:numPr>
          <w:ilvl w:val="0"/>
          <w:numId w:val="2"/>
        </w:numPr>
      </w:pPr>
      <w:r>
        <w:rPr>
          <w:rFonts w:ascii="Arial" w:cs="Arial" w:eastAsia="Arial" w:hAnsi="Arial"/>
          <w:sz w:val="24"/>
          <w:szCs w:val="24"/>
        </w:rPr>
        <w:t xml:space="preserve">Off-target prediction tools for CRISPR</w:t>
      </w:r>
    </w:p>
    <w:p>
      <w:pPr>
        <w:pStyle w:val="ListParagraph"/>
        <w:numPr>
          <w:ilvl w:val="0"/>
          <w:numId w:val="2"/>
        </w:numPr>
      </w:pPr>
      <w:r>
        <w:rPr>
          <w:rFonts w:ascii="Arial" w:cs="Arial" w:eastAsia="Arial" w:hAnsi="Arial"/>
          <w:sz w:val="24"/>
          <w:szCs w:val="24"/>
        </w:rPr>
        <w:t xml:space="preserve">Cell type marker analysis tools</w:t>
      </w:r>
    </w:p>
    <w:p>
      <w:pPr>
        <w:pStyle w:val="ListParagraph"/>
        <w:numPr>
          <w:ilvl w:val="0"/>
          <w:numId w:val="2"/>
        </w:numPr>
      </w:pPr>
      <w:r>
        <w:rPr>
          <w:rFonts w:ascii="Arial" w:cs="Arial" w:eastAsia="Arial" w:hAnsi="Arial"/>
          <w:sz w:val="24"/>
          <w:szCs w:val="24"/>
        </w:rPr>
        <w:t xml:space="preserve">Developmental transcriptomics databases</w:t>
      </w:r>
    </w:p>
    <w:p>
      <w:pPr>
        <w:pStyle w:val="ListParagraph"/>
        <w:numPr>
          <w:ilvl w:val="0"/>
          <w:numId w:val="2"/>
        </w:numPr>
      </w:pPr>
      <w:r>
        <w:rPr>
          <w:rFonts w:ascii="Arial" w:cs="Arial" w:eastAsia="Arial" w:hAnsi="Arial"/>
          <w:sz w:val="24"/>
          <w:szCs w:val="24"/>
        </w:rPr>
        <w:t xml:space="preserve">Meta-analysis effect size software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2026-03-25T18:23:25.565Z</dcterms:created>
  <dcterms:modified xsi:type="dcterms:W3CDTF">2026-03-25T18:23:25.565Z</dcterms:modified>
</cp:coreProperties>
</file>

<file path=docProps/custom.xml><?xml version="1.0" encoding="utf-8"?>
<Properties xmlns="http://schemas.openxmlformats.org/officeDocument/2006/custom-properties" xmlns:vt="http://schemas.openxmlformats.org/officeDocument/2006/docPropsVTypes"/>
</file>