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Sapphire Pipeline Workflow #089: Mouse Model Phenotyping Cross-Species Functional Validation</w:t>
      </w:r>
    </w:p>
    <w:p>
      <w:pPr>
        <w:pStyle w:val="Heading2"/>
      </w:pPr>
      <w:r>
        <w:rPr>
          <w:rFonts w:ascii="Arial" w:cs="Arial" w:eastAsia="Arial" w:hAnsi="Arial"/>
          <w:b/>
          <w:bCs/>
          <w:sz w:val="28"/>
          <w:szCs w:val="28"/>
        </w:rPr>
        <w:t xml:space="preserve">Pipeline Overview</w:t>
      </w:r>
    </w:p>
    <w:p>
      <w:r>
        <w:rPr>
          <w:rFonts w:ascii="Arial" w:cs="Arial" w:eastAsia="Arial" w:hAnsi="Arial"/>
          <w:b/>
          <w:bCs/>
          <w:sz w:val="24"/>
          <w:szCs w:val="24"/>
        </w:rPr>
        <w:t xml:space="preserve">Original Prompt:</w:t>
      </w:r>
    </w:p>
    <w:p>
      <w:pPr>
        <w:spacing w:after="120"/>
      </w:pPr>
      <w:r>
        <w:rPr>
          <w:rFonts w:ascii="Arial" w:cs="Arial" w:eastAsia="Arial" w:hAnsi="Arial"/>
          <w:i/>
          <w:iCs/>
          <w:sz w:val="24"/>
          <w:szCs w:val="24"/>
        </w:rPr>
        <w:t xml:space="preserve">Cross-reference the Angelini common node framework with mouse model phenotyping data from the International Mouse Phenotyping Consortium (IMPC) and MGI to assess which functional clusters are recapitulated in mouse genetic models of the same genes.</w:t>
      </w:r>
    </w:p>
    <w:p>
      <w:r>
        <w:rPr>
          <w:rFonts w:ascii="Arial" w:cs="Arial" w:eastAsia="Arial" w:hAnsi="Arial"/>
          <w:b/>
          <w:bCs/>
          <w:sz w:val="24"/>
          <w:szCs w:val="24"/>
        </w:rPr>
        <w:t xml:space="preserve">Objective:</w:t>
      </w:r>
    </w:p>
    <w:p>
      <w:pPr>
        <w:spacing w:after="120"/>
      </w:pPr>
      <w:r>
        <w:rPr>
          <w:rFonts w:ascii="Arial" w:cs="Arial" w:eastAsia="Arial" w:hAnsi="Arial"/>
          <w:sz w:val="24"/>
          <w:szCs w:val="24"/>
        </w:rPr>
        <w:t xml:space="preserve">Cross-reference the Angelini common node framework with mouse model phenotyping data from the International Mouse Phenotyping Consortium (IMPC) and MGI to assess which functional clusters are recapitulated in mouse genetic models of the same genes.</w:t>
      </w:r>
    </w:p>
    <w:p>
      <w:r>
        <w:rPr>
          <w:rFonts w:ascii="Arial" w:cs="Arial" w:eastAsia="Arial" w:hAnsi="Arial"/>
          <w:b/>
          <w:bCs/>
          <w:sz w:val="24"/>
          <w:szCs w:val="24"/>
        </w:rPr>
        <w:t xml:space="preserve">Pipeline Complexity:</w:t>
      </w:r>
    </w:p>
    <w:p>
      <w:pPr>
        <w:spacing w:after="200"/>
      </w:pPr>
      <w:r>
        <w:rPr>
          <w:rFonts w:ascii="Arial" w:cs="Arial" w:eastAsia="Arial" w:hAnsi="Arial"/>
          <w:sz w:val="24"/>
          <w:szCs w:val="24"/>
        </w:rPr>
        <w:t xml:space="preserve">Very High - Requires complex cross-species genetic mapping, phenotype harmonization across vastly different biological scales, and integration of mammalian comparative genomics</w:t>
      </w:r>
    </w:p>
    <w:p>
      <w:pPr>
        <w:pStyle w:val="Heading2"/>
      </w:pPr>
      <w:r>
        <w:rPr>
          <w:rFonts w:ascii="Arial" w:cs="Arial" w:eastAsia="Arial" w:hAnsi="Arial"/>
          <w:b/>
          <w:bCs/>
          <w:sz w:val="28"/>
          <w:szCs w:val="28"/>
        </w:rPr>
        <w:t xml:space="preserve">Stage 1: Data Retrieval &amp; Source Identification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Systematically identify all mouse knockout models available in IMPC and MGI for DEE genes that are screened in Angelini. Extract comprehensive phenotyping data from knockout mice including behavioral seizures, EEG abnormalities, developmental milestones, cognitive and motor function, and histopathological findings. Compile raw phenotype data and statistical significance assessments.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IMPC database search for DEE gene knockouts</w:t>
      </w:r>
    </w:p>
    <w:p>
      <w:pPr>
        <w:pStyle w:val="ListParagraph"/>
        <w:numPr>
          <w:ilvl w:val="0"/>
          <w:numId w:val="2"/>
        </w:numPr>
      </w:pPr>
      <w:r>
        <w:rPr>
          <w:rFonts w:ascii="Arial" w:cs="Arial" w:eastAsia="Arial" w:hAnsi="Arial"/>
          <w:sz w:val="24"/>
          <w:szCs w:val="24"/>
        </w:rPr>
        <w:t xml:space="preserve">MGI (Mouse Genome Informatics) knockout data</w:t>
      </w:r>
    </w:p>
    <w:p>
      <w:pPr>
        <w:pStyle w:val="ListParagraph"/>
        <w:numPr>
          <w:ilvl w:val="0"/>
          <w:numId w:val="2"/>
        </w:numPr>
      </w:pPr>
      <w:r>
        <w:rPr>
          <w:rFonts w:ascii="Arial" w:cs="Arial" w:eastAsia="Arial" w:hAnsi="Arial"/>
          <w:sz w:val="24"/>
          <w:szCs w:val="24"/>
        </w:rPr>
        <w:t xml:space="preserve">Published mouse model papers (PubMed)</w:t>
      </w:r>
    </w:p>
    <w:p>
      <w:pPr>
        <w:pStyle w:val="ListParagraph"/>
        <w:numPr>
          <w:ilvl w:val="0"/>
          <w:numId w:val="2"/>
        </w:numPr>
      </w:pPr>
      <w:r>
        <w:rPr>
          <w:rFonts w:ascii="Arial" w:cs="Arial" w:eastAsia="Arial" w:hAnsi="Arial"/>
          <w:sz w:val="24"/>
          <w:szCs w:val="24"/>
        </w:rPr>
        <w:t xml:space="preserve">Phenotypic characterization papers</w:t>
      </w:r>
    </w:p>
    <w:p>
      <w:pPr>
        <w:pStyle w:val="ListParagraph"/>
        <w:numPr>
          <w:ilvl w:val="0"/>
          <w:numId w:val="2"/>
        </w:numPr>
      </w:pPr>
      <w:r>
        <w:rPr>
          <w:rFonts w:ascii="Arial" w:cs="Arial" w:eastAsia="Arial" w:hAnsi="Arial"/>
          <w:sz w:val="24"/>
          <w:szCs w:val="24"/>
        </w:rPr>
        <w:t xml:space="preserve">EEG and seizure monitoring data</w:t>
      </w:r>
    </w:p>
    <w:p>
      <w:pPr>
        <w:pStyle w:val="ListParagraph"/>
        <w:numPr>
          <w:ilvl w:val="0"/>
          <w:numId w:val="2"/>
        </w:numPr>
      </w:pPr>
      <w:r>
        <w:rPr>
          <w:rFonts w:ascii="Arial" w:cs="Arial" w:eastAsia="Arial" w:hAnsi="Arial"/>
          <w:sz w:val="24"/>
          <w:szCs w:val="24"/>
        </w:rPr>
        <w:t xml:space="preserve">Behavioral and developmental assessment data</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IMPC REST API for knockout phenotyping data</w:t>
      </w:r>
    </w:p>
    <w:p>
      <w:pPr>
        <w:pStyle w:val="ListParagraph"/>
        <w:numPr>
          <w:ilvl w:val="0"/>
          <w:numId w:val="2"/>
        </w:numPr>
      </w:pPr>
      <w:r>
        <w:rPr>
          <w:rFonts w:ascii="Arial" w:cs="Arial" w:eastAsia="Arial" w:hAnsi="Arial"/>
          <w:sz w:val="24"/>
          <w:szCs w:val="24"/>
        </w:rPr>
        <w:t xml:space="preserve">MGI database query interface</w:t>
      </w:r>
    </w:p>
    <w:p>
      <w:pPr>
        <w:pStyle w:val="ListParagraph"/>
        <w:numPr>
          <w:ilvl w:val="0"/>
          <w:numId w:val="2"/>
        </w:numPr>
      </w:pPr>
      <w:r>
        <w:rPr>
          <w:rFonts w:ascii="Arial" w:cs="Arial" w:eastAsia="Arial" w:hAnsi="Arial"/>
          <w:sz w:val="24"/>
          <w:szCs w:val="24"/>
        </w:rPr>
        <w:t xml:space="preserve">PubMed literature mining API</w:t>
      </w:r>
    </w:p>
    <w:p>
      <w:pPr>
        <w:pStyle w:val="ListParagraph"/>
        <w:numPr>
          <w:ilvl w:val="0"/>
          <w:numId w:val="2"/>
        </w:numPr>
      </w:pPr>
      <w:r>
        <w:rPr>
          <w:rFonts w:ascii="Arial" w:cs="Arial" w:eastAsia="Arial" w:hAnsi="Arial"/>
          <w:sz w:val="24"/>
          <w:szCs w:val="24"/>
        </w:rPr>
        <w:t xml:space="preserve">Mouse brain imaging database (BIRN)</w:t>
      </w:r>
    </w:p>
    <w:p>
      <w:pPr>
        <w:pStyle w:val="ListParagraph"/>
        <w:numPr>
          <w:ilvl w:val="0"/>
          <w:numId w:val="2"/>
        </w:numPr>
      </w:pPr>
      <w:r>
        <w:rPr>
          <w:rFonts w:ascii="Arial" w:cs="Arial" w:eastAsia="Arial" w:hAnsi="Arial"/>
          <w:sz w:val="24"/>
          <w:szCs w:val="24"/>
        </w:rPr>
        <w:t xml:space="preserve">Allen Brain Atlas for mouse neuroanatomy</w:t>
      </w:r>
    </w:p>
    <w:p>
      <w:pPr>
        <w:pStyle w:val="ListParagraph"/>
        <w:numPr>
          <w:ilvl w:val="0"/>
          <w:numId w:val="2"/>
        </w:numPr>
      </w:pPr>
      <w:r>
        <w:rPr>
          <w:rFonts w:ascii="Arial" w:cs="Arial" w:eastAsia="Arial" w:hAnsi="Arial"/>
          <w:sz w:val="24"/>
          <w:szCs w:val="24"/>
        </w:rPr>
        <w:t xml:space="preserve">Statistical data extraction from publications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Which DEE genes have available IMPC knockout mice with seizure phenotyping?</w:t>
      </w:r>
    </w:p>
    <w:p>
      <w:pPr>
        <w:pStyle w:val="ListParagraph"/>
        <w:numPr>
          <w:ilvl w:val="0"/>
          <w:numId w:val="2"/>
        </w:numPr>
      </w:pPr>
      <w:r>
        <w:rPr>
          <w:rFonts w:ascii="Arial" w:cs="Arial" w:eastAsia="Arial" w:hAnsi="Arial"/>
          <w:i/>
          <w:iCs/>
          <w:sz w:val="24"/>
          <w:szCs w:val="24"/>
        </w:rPr>
        <w:t xml:space="preserve">What are the most common seizure phenotypes observed in mouse models of DEE genes?</w:t>
      </w:r>
    </w:p>
    <w:p>
      <w:pPr>
        <w:pStyle w:val="ListParagraph"/>
        <w:numPr>
          <w:ilvl w:val="0"/>
          <w:numId w:val="2"/>
        </w:numPr>
      </w:pPr>
      <w:r>
        <w:rPr>
          <w:rFonts w:ascii="Arial" w:cs="Arial" w:eastAsia="Arial" w:hAnsi="Arial"/>
          <w:i/>
          <w:iCs/>
          <w:sz w:val="24"/>
          <w:szCs w:val="24"/>
        </w:rPr>
        <w:t xml:space="preserve">How do behavioral and neurological phenotypes vary across different DEE gene knockouts?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IMPC knockout model inventory by DEE gene</w:t>
      </w:r>
    </w:p>
    <w:p>
      <w:pPr>
        <w:pStyle w:val="ListParagraph"/>
        <w:numPr>
          <w:ilvl w:val="0"/>
          <w:numId w:val="2"/>
        </w:numPr>
      </w:pPr>
      <w:r>
        <w:rPr>
          <w:rFonts w:ascii="Arial" w:cs="Arial" w:eastAsia="Arial" w:hAnsi="Arial"/>
          <w:sz w:val="24"/>
          <w:szCs w:val="24"/>
        </w:rPr>
        <w:t xml:space="preserve">Seizure phenotyping summary by mouse model</w:t>
      </w:r>
    </w:p>
    <w:p>
      <w:pPr>
        <w:pStyle w:val="ListParagraph"/>
        <w:numPr>
          <w:ilvl w:val="0"/>
          <w:numId w:val="2"/>
        </w:numPr>
      </w:pPr>
      <w:r>
        <w:rPr>
          <w:rFonts w:ascii="Arial" w:cs="Arial" w:eastAsia="Arial" w:hAnsi="Arial"/>
          <w:sz w:val="24"/>
          <w:szCs w:val="24"/>
        </w:rPr>
        <w:t xml:space="preserve">Behavioral and developmental outcome data</w:t>
      </w:r>
    </w:p>
    <w:p>
      <w:pPr>
        <w:pStyle w:val="ListParagraph"/>
        <w:numPr>
          <w:ilvl w:val="0"/>
          <w:numId w:val="2"/>
        </w:numPr>
      </w:pPr>
      <w:r>
        <w:rPr>
          <w:rFonts w:ascii="Arial" w:cs="Arial" w:eastAsia="Arial" w:hAnsi="Arial"/>
          <w:sz w:val="24"/>
          <w:szCs w:val="24"/>
        </w:rPr>
        <w:t xml:space="preserve">EEG abnormality characterization</w:t>
      </w:r>
    </w:p>
    <w:p>
      <w:pPr>
        <w:pStyle w:val="ListParagraph"/>
        <w:numPr>
          <w:ilvl w:val="0"/>
          <w:numId w:val="2"/>
        </w:numPr>
      </w:pPr>
      <w:r>
        <w:rPr>
          <w:rFonts w:ascii="Arial" w:cs="Arial" w:eastAsia="Arial" w:hAnsi="Arial"/>
          <w:sz w:val="24"/>
          <w:szCs w:val="24"/>
        </w:rPr>
        <w:t xml:space="preserve">Mouse model phenotype metadata table</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Phenotype database (CSV/JSON) with comprehensive mouse model characterization</w:t>
      </w:r>
    </w:p>
    <w:p>
      <w:pPr>
        <w:pStyle w:val="Heading2"/>
      </w:pPr>
      <w:r>
        <w:rPr>
          <w:rFonts w:ascii="Arial" w:cs="Arial" w:eastAsia="Arial" w:hAnsi="Arial"/>
          <w:b/>
          <w:bCs/>
          <w:sz w:val="28"/>
          <w:szCs w:val="28"/>
        </w:rPr>
        <w:t xml:space="preserve">Stage 2: Data Extraction &amp; Preprocessing</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Develop cross-species phenotype mapping framework to harmonize Angelini human iPSC-neuron phenotypes with mouse in vivo and in vitro phenotypes. Map cellular electrophysiology measurements to organism-level behavioral seizure phenotypes. Create ontology alignments for cross-species phenotype comparison using standardized phenotypic descriptors (Mammalian Phenotype Ontology).</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Angelini iPSC-neuron phenotypes</w:t>
      </w:r>
    </w:p>
    <w:p>
      <w:pPr>
        <w:pStyle w:val="ListParagraph"/>
        <w:numPr>
          <w:ilvl w:val="0"/>
          <w:numId w:val="2"/>
        </w:numPr>
      </w:pPr>
      <w:r>
        <w:rPr>
          <w:rFonts w:ascii="Arial" w:cs="Arial" w:eastAsia="Arial" w:hAnsi="Arial"/>
          <w:sz w:val="24"/>
          <w:szCs w:val="24"/>
        </w:rPr>
        <w:t xml:space="preserve">Mouse model seizure and behavioral phenotypes</w:t>
      </w:r>
    </w:p>
    <w:p>
      <w:pPr>
        <w:pStyle w:val="ListParagraph"/>
        <w:numPr>
          <w:ilvl w:val="0"/>
          <w:numId w:val="2"/>
        </w:numPr>
      </w:pPr>
      <w:r>
        <w:rPr>
          <w:rFonts w:ascii="Arial" w:cs="Arial" w:eastAsia="Arial" w:hAnsi="Arial"/>
          <w:sz w:val="24"/>
          <w:szCs w:val="24"/>
        </w:rPr>
        <w:t xml:space="preserve">Mammalian Phenotype Ontology (MPO)</w:t>
      </w:r>
    </w:p>
    <w:p>
      <w:pPr>
        <w:pStyle w:val="ListParagraph"/>
        <w:numPr>
          <w:ilvl w:val="0"/>
          <w:numId w:val="2"/>
        </w:numPr>
      </w:pPr>
      <w:r>
        <w:rPr>
          <w:rFonts w:ascii="Arial" w:cs="Arial" w:eastAsia="Arial" w:hAnsi="Arial"/>
          <w:sz w:val="24"/>
          <w:szCs w:val="24"/>
        </w:rPr>
        <w:t xml:space="preserve">Species-specific phenotype descriptors</w:t>
      </w:r>
    </w:p>
    <w:p>
      <w:pPr>
        <w:pStyle w:val="ListParagraph"/>
        <w:numPr>
          <w:ilvl w:val="0"/>
          <w:numId w:val="2"/>
        </w:numPr>
      </w:pPr>
      <w:r>
        <w:rPr>
          <w:rFonts w:ascii="Arial" w:cs="Arial" w:eastAsia="Arial" w:hAnsi="Arial"/>
          <w:sz w:val="24"/>
          <w:szCs w:val="24"/>
        </w:rPr>
        <w:t xml:space="preserve">Neurobiological pathway conservation data</w:t>
      </w:r>
    </w:p>
    <w:p>
      <w:pPr>
        <w:pStyle w:val="ListParagraph"/>
        <w:numPr>
          <w:ilvl w:val="0"/>
          <w:numId w:val="2"/>
        </w:numPr>
      </w:pPr>
      <w:r>
        <w:rPr>
          <w:rFonts w:ascii="Arial" w:cs="Arial" w:eastAsia="Arial" w:hAnsi="Arial"/>
          <w:sz w:val="24"/>
          <w:szCs w:val="24"/>
        </w:rPr>
        <w:t xml:space="preserve">Published cross-species phenotype mapping studies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Mammalian Phenotype Ontology (MPO)</w:t>
      </w:r>
    </w:p>
    <w:p>
      <w:pPr>
        <w:pStyle w:val="ListParagraph"/>
        <w:numPr>
          <w:ilvl w:val="0"/>
          <w:numId w:val="2"/>
        </w:numPr>
      </w:pPr>
      <w:r>
        <w:rPr>
          <w:rFonts w:ascii="Arial" w:cs="Arial" w:eastAsia="Arial" w:hAnsi="Arial"/>
          <w:sz w:val="24"/>
          <w:szCs w:val="24"/>
        </w:rPr>
        <w:t xml:space="preserve">Phenotypic Quality Ontology (PATO)</w:t>
      </w:r>
    </w:p>
    <w:p>
      <w:pPr>
        <w:pStyle w:val="ListParagraph"/>
        <w:numPr>
          <w:ilvl w:val="0"/>
          <w:numId w:val="2"/>
        </w:numPr>
      </w:pPr>
      <w:r>
        <w:rPr>
          <w:rFonts w:ascii="Arial" w:cs="Arial" w:eastAsia="Arial" w:hAnsi="Arial"/>
          <w:sz w:val="24"/>
          <w:szCs w:val="24"/>
        </w:rPr>
        <w:t xml:space="preserve">Semantic similarity calculation tools</w:t>
      </w:r>
    </w:p>
    <w:p>
      <w:pPr>
        <w:pStyle w:val="ListParagraph"/>
        <w:numPr>
          <w:ilvl w:val="0"/>
          <w:numId w:val="2"/>
        </w:numPr>
      </w:pPr>
      <w:r>
        <w:rPr>
          <w:rFonts w:ascii="Arial" w:cs="Arial" w:eastAsia="Arial" w:hAnsi="Arial"/>
          <w:sz w:val="24"/>
          <w:szCs w:val="24"/>
        </w:rPr>
        <w:t xml:space="preserve">Cross-species gene orthology (Ensembl, NCBI)</w:t>
      </w:r>
    </w:p>
    <w:p>
      <w:pPr>
        <w:pStyle w:val="ListParagraph"/>
        <w:numPr>
          <w:ilvl w:val="0"/>
          <w:numId w:val="2"/>
        </w:numPr>
      </w:pPr>
      <w:r>
        <w:rPr>
          <w:rFonts w:ascii="Arial" w:cs="Arial" w:eastAsia="Arial" w:hAnsi="Arial"/>
          <w:sz w:val="24"/>
          <w:szCs w:val="24"/>
        </w:rPr>
        <w:t xml:space="preserve">Pathway conservation analysis (KEGG)</w:t>
      </w:r>
    </w:p>
    <w:p>
      <w:pPr>
        <w:pStyle w:val="ListParagraph"/>
        <w:numPr>
          <w:ilvl w:val="0"/>
          <w:numId w:val="2"/>
        </w:numPr>
      </w:pPr>
      <w:r>
        <w:rPr>
          <w:rFonts w:ascii="Arial" w:cs="Arial" w:eastAsia="Arial" w:hAnsi="Arial"/>
          <w:sz w:val="24"/>
          <w:szCs w:val="24"/>
        </w:rPr>
        <w:t xml:space="preserve">Manual expert phenotype curation</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How can iPSC-neuron electrophysiology phenotypes be mapped to mouse seizure behavior?</w:t>
      </w:r>
    </w:p>
    <w:p>
      <w:pPr>
        <w:pStyle w:val="ListParagraph"/>
        <w:numPr>
          <w:ilvl w:val="0"/>
          <w:numId w:val="2"/>
        </w:numPr>
      </w:pPr>
      <w:r>
        <w:rPr>
          <w:rFonts w:ascii="Arial" w:cs="Arial" w:eastAsia="Arial" w:hAnsi="Arial"/>
          <w:i/>
          <w:iCs/>
          <w:sz w:val="24"/>
          <w:szCs w:val="24"/>
        </w:rPr>
        <w:t xml:space="preserve">What phenotypic features are conserved between human neurons and mouse neural circuits?</w:t>
      </w:r>
    </w:p>
    <w:p>
      <w:pPr>
        <w:pStyle w:val="ListParagraph"/>
        <w:numPr>
          <w:ilvl w:val="0"/>
          <w:numId w:val="2"/>
        </w:numPr>
      </w:pPr>
      <w:r>
        <w:rPr>
          <w:rFonts w:ascii="Arial" w:cs="Arial" w:eastAsia="Arial" w:hAnsi="Arial"/>
          <w:i/>
          <w:iCs/>
          <w:sz w:val="24"/>
          <w:szCs w:val="24"/>
        </w:rPr>
        <w:t xml:space="preserve">Which cellular defects in Angelini likely account for the seizure phenotypes observed in mouse models?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Cross-species phenotype ontology mapping</w:t>
      </w:r>
    </w:p>
    <w:p>
      <w:pPr>
        <w:pStyle w:val="ListParagraph"/>
        <w:numPr>
          <w:ilvl w:val="0"/>
          <w:numId w:val="2"/>
        </w:numPr>
      </w:pPr>
      <w:r>
        <w:rPr>
          <w:rFonts w:ascii="Arial" w:cs="Arial" w:eastAsia="Arial" w:hAnsi="Arial"/>
          <w:sz w:val="24"/>
          <w:szCs w:val="24"/>
        </w:rPr>
        <w:t xml:space="preserve">Cellular-to-behavioral phenotype correspondence matrix</w:t>
      </w:r>
    </w:p>
    <w:p>
      <w:pPr>
        <w:pStyle w:val="ListParagraph"/>
        <w:numPr>
          <w:ilvl w:val="0"/>
          <w:numId w:val="2"/>
        </w:numPr>
      </w:pPr>
      <w:r>
        <w:rPr>
          <w:rFonts w:ascii="Arial" w:cs="Arial" w:eastAsia="Arial" w:hAnsi="Arial"/>
          <w:sz w:val="24"/>
          <w:szCs w:val="24"/>
        </w:rPr>
        <w:t xml:space="preserve">Conservation analysis of functional phenotypes</w:t>
      </w:r>
    </w:p>
    <w:p>
      <w:pPr>
        <w:pStyle w:val="ListParagraph"/>
        <w:numPr>
          <w:ilvl w:val="0"/>
          <w:numId w:val="2"/>
        </w:numPr>
      </w:pPr>
      <w:r>
        <w:rPr>
          <w:rFonts w:ascii="Arial" w:cs="Arial" w:eastAsia="Arial" w:hAnsi="Arial"/>
          <w:sz w:val="24"/>
          <w:szCs w:val="24"/>
        </w:rPr>
        <w:t xml:space="preserve">Expert phenotype curation and alignment</w:t>
      </w:r>
    </w:p>
    <w:p>
      <w:pPr>
        <w:pStyle w:val="ListParagraph"/>
        <w:numPr>
          <w:ilvl w:val="0"/>
          <w:numId w:val="2"/>
        </w:numPr>
      </w:pPr>
      <w:r>
        <w:rPr>
          <w:rFonts w:ascii="Arial" w:cs="Arial" w:eastAsia="Arial" w:hAnsi="Arial"/>
          <w:sz w:val="24"/>
          <w:szCs w:val="24"/>
        </w:rPr>
        <w:t xml:space="preserve">Species-specific phenotype descriptor harmonization</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Phenotype mapping document (PDF) with ontology alignment specifications and correspondence matrices</w:t>
      </w:r>
    </w:p>
    <w:p>
      <w:pPr>
        <w:pStyle w:val="Heading2"/>
      </w:pPr>
      <w:r>
        <w:rPr>
          <w:rFonts w:ascii="Arial" w:cs="Arial" w:eastAsia="Arial" w:hAnsi="Arial"/>
          <w:b/>
          <w:bCs/>
          <w:sz w:val="28"/>
          <w:szCs w:val="28"/>
        </w:rPr>
        <w:t xml:space="preserve">Stage 3: Computational Analysis &amp; Integration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Compare Angelini functional cluster assignments with mouse model phenotype profiles for the same genes. For each common node/cluster in Angelini, identify whether mouse models show convergent seizure and behavioral phenotypes supporting the cluster assignment. Score concordance of functional clusters across species and identify species-specific phenotypes.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Angelini functional clusters and phenotypes</w:t>
      </w:r>
    </w:p>
    <w:p>
      <w:pPr>
        <w:pStyle w:val="ListParagraph"/>
        <w:numPr>
          <w:ilvl w:val="0"/>
          <w:numId w:val="2"/>
        </w:numPr>
      </w:pPr>
      <w:r>
        <w:rPr>
          <w:rFonts w:ascii="Arial" w:cs="Arial" w:eastAsia="Arial" w:hAnsi="Arial"/>
          <w:sz w:val="24"/>
          <w:szCs w:val="24"/>
        </w:rPr>
        <w:t xml:space="preserve">Harmonized mouse model phenotypes from Stage 2</w:t>
      </w:r>
    </w:p>
    <w:p>
      <w:pPr>
        <w:pStyle w:val="ListParagraph"/>
        <w:numPr>
          <w:ilvl w:val="0"/>
          <w:numId w:val="2"/>
        </w:numPr>
      </w:pPr>
      <w:r>
        <w:rPr>
          <w:rFonts w:ascii="Arial" w:cs="Arial" w:eastAsia="Arial" w:hAnsi="Arial"/>
          <w:sz w:val="24"/>
          <w:szCs w:val="24"/>
        </w:rPr>
        <w:t xml:space="preserve">Cross-species phenotype mappings</w:t>
      </w:r>
    </w:p>
    <w:p>
      <w:pPr>
        <w:pStyle w:val="ListParagraph"/>
        <w:numPr>
          <w:ilvl w:val="0"/>
          <w:numId w:val="2"/>
        </w:numPr>
      </w:pPr>
      <w:r>
        <w:rPr>
          <w:rFonts w:ascii="Arial" w:cs="Arial" w:eastAsia="Arial" w:hAnsi="Arial"/>
          <w:sz w:val="24"/>
          <w:szCs w:val="24"/>
        </w:rPr>
        <w:t xml:space="preserve">Gene-phenotype correlation data</w:t>
      </w:r>
    </w:p>
    <w:p>
      <w:pPr>
        <w:pStyle w:val="ListParagraph"/>
        <w:numPr>
          <w:ilvl w:val="0"/>
          <w:numId w:val="2"/>
        </w:numPr>
      </w:pPr>
      <w:r>
        <w:rPr>
          <w:rFonts w:ascii="Arial" w:cs="Arial" w:eastAsia="Arial" w:hAnsi="Arial"/>
          <w:sz w:val="24"/>
          <w:szCs w:val="24"/>
        </w:rPr>
        <w:t xml:space="preserve">Network-level functional relationships</w:t>
      </w:r>
    </w:p>
    <w:p>
      <w:pPr>
        <w:pStyle w:val="ListParagraph"/>
        <w:numPr>
          <w:ilvl w:val="0"/>
          <w:numId w:val="2"/>
        </w:numPr>
      </w:pPr>
      <w:r>
        <w:rPr>
          <w:rFonts w:ascii="Arial" w:cs="Arial" w:eastAsia="Arial" w:hAnsi="Arial"/>
          <w:sz w:val="24"/>
          <w:szCs w:val="24"/>
        </w:rPr>
        <w:t xml:space="preserve">Mechanistic pathway conservation</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Clustering agreement metrics (adjusted Rand index)</w:t>
      </w:r>
    </w:p>
    <w:p>
      <w:pPr>
        <w:pStyle w:val="ListParagraph"/>
        <w:numPr>
          <w:ilvl w:val="0"/>
          <w:numId w:val="2"/>
        </w:numPr>
      </w:pPr>
      <w:r>
        <w:rPr>
          <w:rFonts w:ascii="Arial" w:cs="Arial" w:eastAsia="Arial" w:hAnsi="Arial"/>
          <w:sz w:val="24"/>
          <w:szCs w:val="24"/>
        </w:rPr>
        <w:t xml:space="preserve">Correlation analysis for phenotype similarity</w:t>
      </w:r>
    </w:p>
    <w:p>
      <w:pPr>
        <w:pStyle w:val="ListParagraph"/>
        <w:numPr>
          <w:ilvl w:val="0"/>
          <w:numId w:val="2"/>
        </w:numPr>
      </w:pPr>
      <w:r>
        <w:rPr>
          <w:rFonts w:ascii="Arial" w:cs="Arial" w:eastAsia="Arial" w:hAnsi="Arial"/>
          <w:sz w:val="24"/>
          <w:szCs w:val="24"/>
        </w:rPr>
        <w:t xml:space="preserve">Hierarchical clustering on cross-species data</w:t>
      </w:r>
    </w:p>
    <w:p>
      <w:pPr>
        <w:pStyle w:val="ListParagraph"/>
        <w:numPr>
          <w:ilvl w:val="0"/>
          <w:numId w:val="2"/>
        </w:numPr>
      </w:pPr>
      <w:r>
        <w:rPr>
          <w:rFonts w:ascii="Arial" w:cs="Arial" w:eastAsia="Arial" w:hAnsi="Arial"/>
          <w:sz w:val="24"/>
          <w:szCs w:val="24"/>
        </w:rPr>
        <w:t xml:space="preserve">Network topology comparison (cross-species networks)</w:t>
      </w:r>
    </w:p>
    <w:p>
      <w:pPr>
        <w:pStyle w:val="ListParagraph"/>
        <w:numPr>
          <w:ilvl w:val="0"/>
          <w:numId w:val="2"/>
        </w:numPr>
      </w:pPr>
      <w:r>
        <w:rPr>
          <w:rFonts w:ascii="Arial" w:cs="Arial" w:eastAsia="Arial" w:hAnsi="Arial"/>
          <w:sz w:val="24"/>
          <w:szCs w:val="24"/>
        </w:rPr>
        <w:t xml:space="preserve">Graph isomorphism and similarity metrics</w:t>
      </w:r>
    </w:p>
    <w:p>
      <w:pPr>
        <w:pStyle w:val="ListParagraph"/>
        <w:numPr>
          <w:ilvl w:val="0"/>
          <w:numId w:val="2"/>
        </w:numPr>
      </w:pPr>
      <w:r>
        <w:rPr>
          <w:rFonts w:ascii="Arial" w:cs="Arial" w:eastAsia="Arial" w:hAnsi="Arial"/>
          <w:sz w:val="24"/>
          <w:szCs w:val="24"/>
        </w:rPr>
        <w:t xml:space="preserve">Upset plots for phenotype overlap</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Do genes in the same Angelini cluster show concordant seizure phenotypes in mouse models?</w:t>
      </w:r>
    </w:p>
    <w:p>
      <w:pPr>
        <w:pStyle w:val="ListParagraph"/>
        <w:numPr>
          <w:ilvl w:val="0"/>
          <w:numId w:val="2"/>
        </w:numPr>
      </w:pPr>
      <w:r>
        <w:rPr>
          <w:rFonts w:ascii="Arial" w:cs="Arial" w:eastAsia="Arial" w:hAnsi="Arial"/>
          <w:i/>
          <w:iCs/>
          <w:sz w:val="24"/>
          <w:szCs w:val="24"/>
        </w:rPr>
        <w:t xml:space="preserve">Are there cluster-specific seizure types or behavioral abnormalities?</w:t>
      </w:r>
    </w:p>
    <w:p>
      <w:pPr>
        <w:pStyle w:val="ListParagraph"/>
        <w:numPr>
          <w:ilvl w:val="0"/>
          <w:numId w:val="2"/>
        </w:numPr>
      </w:pPr>
      <w:r>
        <w:rPr>
          <w:rFonts w:ascii="Arial" w:cs="Arial" w:eastAsia="Arial" w:hAnsi="Arial"/>
          <w:i/>
          <w:iCs/>
          <w:sz w:val="24"/>
          <w:szCs w:val="24"/>
        </w:rPr>
        <w:t xml:space="preserve">Which functional relationships from Angelini are conserved in mouse genetic models?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Cross-species cluster concordance analysis</w:t>
      </w:r>
    </w:p>
    <w:p>
      <w:pPr>
        <w:pStyle w:val="ListParagraph"/>
        <w:numPr>
          <w:ilvl w:val="0"/>
          <w:numId w:val="2"/>
        </w:numPr>
      </w:pPr>
      <w:r>
        <w:rPr>
          <w:rFonts w:ascii="Arial" w:cs="Arial" w:eastAsia="Arial" w:hAnsi="Arial"/>
          <w:sz w:val="24"/>
          <w:szCs w:val="24"/>
        </w:rPr>
        <w:t xml:space="preserve">Phenotype conservation by cluster</w:t>
      </w:r>
    </w:p>
    <w:p>
      <w:pPr>
        <w:pStyle w:val="ListParagraph"/>
        <w:numPr>
          <w:ilvl w:val="0"/>
          <w:numId w:val="2"/>
        </w:numPr>
      </w:pPr>
      <w:r>
        <w:rPr>
          <w:rFonts w:ascii="Arial" w:cs="Arial" w:eastAsia="Arial" w:hAnsi="Arial"/>
          <w:sz w:val="24"/>
          <w:szCs w:val="24"/>
        </w:rPr>
        <w:t xml:space="preserve">Species-specific phenotype identification</w:t>
      </w:r>
    </w:p>
    <w:p>
      <w:pPr>
        <w:pStyle w:val="ListParagraph"/>
        <w:numPr>
          <w:ilvl w:val="0"/>
          <w:numId w:val="2"/>
        </w:numPr>
      </w:pPr>
      <w:r>
        <w:rPr>
          <w:rFonts w:ascii="Arial" w:cs="Arial" w:eastAsia="Arial" w:hAnsi="Arial"/>
          <w:sz w:val="24"/>
          <w:szCs w:val="24"/>
        </w:rPr>
        <w:t xml:space="preserve">Functional relationship conservation analysis</w:t>
      </w:r>
    </w:p>
    <w:p>
      <w:pPr>
        <w:pStyle w:val="ListParagraph"/>
        <w:numPr>
          <w:ilvl w:val="0"/>
          <w:numId w:val="2"/>
        </w:numPr>
      </w:pPr>
      <w:r>
        <w:rPr>
          <w:rFonts w:ascii="Arial" w:cs="Arial" w:eastAsia="Arial" w:hAnsi="Arial"/>
          <w:sz w:val="24"/>
          <w:szCs w:val="24"/>
        </w:rPr>
        <w:t xml:space="preserve">Cluster validation across mammalian species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Comparative analysis report (PDF) with concordance matrices (CSV) and visualization figures</w:t>
      </w:r>
    </w:p>
    <w:p>
      <w:pPr>
        <w:pStyle w:val="Heading2"/>
      </w:pPr>
      <w:r>
        <w:rPr>
          <w:rFonts w:ascii="Arial" w:cs="Arial" w:eastAsia="Arial" w:hAnsi="Arial"/>
          <w:b/>
          <w:bCs/>
          <w:sz w:val="28"/>
          <w:szCs w:val="28"/>
        </w:rPr>
        <w:t xml:space="preserve">Stage 4: Cross-Reference Validation &amp; Quality Control</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Investigate detailed mechanisms underlying Angelini functional phenotypes using mouse model data. For genes with discordant results between iPSC-neurons and mouse models, analyze developmental, circuit-level, and systems-level explanations. Assess whether mouse model severity or seizure characteristics reveal mechanisms not observable in iPSC cultures.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Discordant gene lists from Stage 3</w:t>
      </w:r>
    </w:p>
    <w:p>
      <w:pPr>
        <w:pStyle w:val="ListParagraph"/>
        <w:numPr>
          <w:ilvl w:val="0"/>
          <w:numId w:val="2"/>
        </w:numPr>
      </w:pPr>
      <w:r>
        <w:rPr>
          <w:rFonts w:ascii="Arial" w:cs="Arial" w:eastAsia="Arial" w:hAnsi="Arial"/>
          <w:sz w:val="24"/>
          <w:szCs w:val="24"/>
        </w:rPr>
        <w:t xml:space="preserve">Mouse model detailed behavioral and EEG data</w:t>
      </w:r>
    </w:p>
    <w:p>
      <w:pPr>
        <w:pStyle w:val="ListParagraph"/>
        <w:numPr>
          <w:ilvl w:val="0"/>
          <w:numId w:val="2"/>
        </w:numPr>
      </w:pPr>
      <w:r>
        <w:rPr>
          <w:rFonts w:ascii="Arial" w:cs="Arial" w:eastAsia="Arial" w:hAnsi="Arial"/>
          <w:sz w:val="24"/>
          <w:szCs w:val="24"/>
        </w:rPr>
        <w:t xml:space="preserve">Developmental neurobiological differences</w:t>
      </w:r>
    </w:p>
    <w:p>
      <w:pPr>
        <w:pStyle w:val="ListParagraph"/>
        <w:numPr>
          <w:ilvl w:val="0"/>
          <w:numId w:val="2"/>
        </w:numPr>
      </w:pPr>
      <w:r>
        <w:rPr>
          <w:rFonts w:ascii="Arial" w:cs="Arial" w:eastAsia="Arial" w:hAnsi="Arial"/>
          <w:sz w:val="24"/>
          <w:szCs w:val="24"/>
        </w:rPr>
        <w:t xml:space="preserve">Circuit connectivity and organization data</w:t>
      </w:r>
    </w:p>
    <w:p>
      <w:pPr>
        <w:pStyle w:val="ListParagraph"/>
        <w:numPr>
          <w:ilvl w:val="0"/>
          <w:numId w:val="2"/>
        </w:numPr>
      </w:pPr>
      <w:r>
        <w:rPr>
          <w:rFonts w:ascii="Arial" w:cs="Arial" w:eastAsia="Arial" w:hAnsi="Arial"/>
          <w:sz w:val="24"/>
          <w:szCs w:val="24"/>
        </w:rPr>
        <w:t xml:space="preserve">Network-level dysfunction information</w:t>
      </w:r>
    </w:p>
    <w:p>
      <w:pPr>
        <w:pStyle w:val="ListParagraph"/>
        <w:numPr>
          <w:ilvl w:val="0"/>
          <w:numId w:val="2"/>
        </w:numPr>
      </w:pPr>
      <w:r>
        <w:rPr>
          <w:rFonts w:ascii="Arial" w:cs="Arial" w:eastAsia="Arial" w:hAnsi="Arial"/>
          <w:sz w:val="24"/>
          <w:szCs w:val="24"/>
        </w:rPr>
        <w:t xml:space="preserve">Neuromodulator and neurotransmitter data</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Mouse neuroanatomy visualization (Allen Brain Atlas)</w:t>
      </w:r>
    </w:p>
    <w:p>
      <w:pPr>
        <w:pStyle w:val="ListParagraph"/>
        <w:numPr>
          <w:ilvl w:val="0"/>
          <w:numId w:val="2"/>
        </w:numPr>
      </w:pPr>
      <w:r>
        <w:rPr>
          <w:rFonts w:ascii="Arial" w:cs="Arial" w:eastAsia="Arial" w:hAnsi="Arial"/>
          <w:sz w:val="24"/>
          <w:szCs w:val="24"/>
        </w:rPr>
        <w:t xml:space="preserve">Brain connectivity databases (CoCoMac, BAMS)</w:t>
      </w:r>
    </w:p>
    <w:p>
      <w:pPr>
        <w:pStyle w:val="ListParagraph"/>
        <w:numPr>
          <w:ilvl w:val="0"/>
          <w:numId w:val="2"/>
        </w:numPr>
      </w:pPr>
      <w:r>
        <w:rPr>
          <w:rFonts w:ascii="Arial" w:cs="Arial" w:eastAsia="Arial" w:hAnsi="Arial"/>
          <w:sz w:val="24"/>
          <w:szCs w:val="24"/>
        </w:rPr>
        <w:t xml:space="preserve">Developmental transcriptomics for species comparison</w:t>
      </w:r>
    </w:p>
    <w:p>
      <w:pPr>
        <w:pStyle w:val="ListParagraph"/>
        <w:numPr>
          <w:ilvl w:val="0"/>
          <w:numId w:val="2"/>
        </w:numPr>
      </w:pPr>
      <w:r>
        <w:rPr>
          <w:rFonts w:ascii="Arial" w:cs="Arial" w:eastAsia="Arial" w:hAnsi="Arial"/>
          <w:sz w:val="24"/>
          <w:szCs w:val="24"/>
        </w:rPr>
        <w:t xml:space="preserve">Computational modeling of seizure circuits</w:t>
      </w:r>
    </w:p>
    <w:p>
      <w:pPr>
        <w:pStyle w:val="ListParagraph"/>
        <w:numPr>
          <w:ilvl w:val="0"/>
          <w:numId w:val="2"/>
        </w:numPr>
      </w:pPr>
      <w:r>
        <w:rPr>
          <w:rFonts w:ascii="Arial" w:cs="Arial" w:eastAsia="Arial" w:hAnsi="Arial"/>
          <w:sz w:val="24"/>
          <w:szCs w:val="24"/>
        </w:rPr>
        <w:t xml:space="preserve">Pathway analysis at systems level</w:t>
      </w:r>
    </w:p>
    <w:p>
      <w:pPr>
        <w:pStyle w:val="ListParagraph"/>
        <w:numPr>
          <w:ilvl w:val="0"/>
          <w:numId w:val="2"/>
        </w:numPr>
      </w:pPr>
      <w:r>
        <w:rPr>
          <w:rFonts w:ascii="Arial" w:cs="Arial" w:eastAsia="Arial" w:hAnsi="Arial"/>
          <w:sz w:val="24"/>
          <w:szCs w:val="24"/>
        </w:rPr>
        <w:t xml:space="preserve">Comparative neuroscience literature mining</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Why do some Angelini phenotypes correlate with mouse seizures while others don't?</w:t>
      </w:r>
    </w:p>
    <w:p>
      <w:pPr>
        <w:pStyle w:val="ListParagraph"/>
        <w:numPr>
          <w:ilvl w:val="0"/>
          <w:numId w:val="2"/>
        </w:numPr>
      </w:pPr>
      <w:r>
        <w:rPr>
          <w:rFonts w:ascii="Arial" w:cs="Arial" w:eastAsia="Arial" w:hAnsi="Arial"/>
          <w:i/>
          <w:iCs/>
          <w:sz w:val="24"/>
          <w:szCs w:val="24"/>
        </w:rPr>
        <w:t xml:space="preserve">What developmental differences between iPSC-neurons and mature mouse brain explain phenotypic variations?</w:t>
      </w:r>
    </w:p>
    <w:p>
      <w:pPr>
        <w:pStyle w:val="ListParagraph"/>
        <w:numPr>
          <w:ilvl w:val="0"/>
          <w:numId w:val="2"/>
        </w:numPr>
      </w:pPr>
      <w:r>
        <w:rPr>
          <w:rFonts w:ascii="Arial" w:cs="Arial" w:eastAsia="Arial" w:hAnsi="Arial"/>
          <w:i/>
          <w:iCs/>
          <w:sz w:val="24"/>
          <w:szCs w:val="24"/>
        </w:rPr>
        <w:t xml:space="preserve">Can mouse models reveal circuit-level mechanisms underlying DEE gene dysfunction?</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Mechanistic investigation of discordant phenotypes</w:t>
      </w:r>
    </w:p>
    <w:p>
      <w:pPr>
        <w:pStyle w:val="ListParagraph"/>
        <w:numPr>
          <w:ilvl w:val="0"/>
          <w:numId w:val="2"/>
        </w:numPr>
      </w:pPr>
      <w:r>
        <w:rPr>
          <w:rFonts w:ascii="Arial" w:cs="Arial" w:eastAsia="Arial" w:hAnsi="Arial"/>
          <w:sz w:val="24"/>
          <w:szCs w:val="24"/>
        </w:rPr>
        <w:t xml:space="preserve">Circuit-level dysfunction analysis from mouse models</w:t>
      </w:r>
    </w:p>
    <w:p>
      <w:pPr>
        <w:pStyle w:val="ListParagraph"/>
        <w:numPr>
          <w:ilvl w:val="0"/>
          <w:numId w:val="2"/>
        </w:numPr>
      </w:pPr>
      <w:r>
        <w:rPr>
          <w:rFonts w:ascii="Arial" w:cs="Arial" w:eastAsia="Arial" w:hAnsi="Arial"/>
          <w:sz w:val="24"/>
          <w:szCs w:val="24"/>
        </w:rPr>
        <w:t xml:space="preserve">Developmental factor contribution assessment</w:t>
      </w:r>
    </w:p>
    <w:p>
      <w:pPr>
        <w:pStyle w:val="ListParagraph"/>
        <w:numPr>
          <w:ilvl w:val="0"/>
          <w:numId w:val="2"/>
        </w:numPr>
      </w:pPr>
      <w:r>
        <w:rPr>
          <w:rFonts w:ascii="Arial" w:cs="Arial" w:eastAsia="Arial" w:hAnsi="Arial"/>
          <w:sz w:val="24"/>
          <w:szCs w:val="24"/>
        </w:rPr>
        <w:t xml:space="preserve">Systems-level mechanism discovery</w:t>
      </w:r>
    </w:p>
    <w:p>
      <w:pPr>
        <w:pStyle w:val="ListParagraph"/>
        <w:numPr>
          <w:ilvl w:val="0"/>
          <w:numId w:val="2"/>
        </w:numPr>
      </w:pPr>
      <w:r>
        <w:rPr>
          <w:rFonts w:ascii="Arial" w:cs="Arial" w:eastAsia="Arial" w:hAnsi="Arial"/>
          <w:sz w:val="24"/>
          <w:szCs w:val="24"/>
        </w:rPr>
        <w:t xml:space="preserve">Comprehensive mechanism synthesis across species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Mechanistic analysis report (PDF) with circuit diagrams and multi-scale systems integration figures</w:t>
      </w:r>
    </w:p>
    <w:p>
      <w:pPr>
        <w:pStyle w:val="Heading2"/>
      </w:pPr>
      <w:r>
        <w:rPr>
          <w:rFonts w:ascii="Arial" w:cs="Arial" w:eastAsia="Arial" w:hAnsi="Arial"/>
          <w:b/>
          <w:bCs/>
          <w:sz w:val="28"/>
          <w:szCs w:val="28"/>
        </w:rPr>
        <w:t xml:space="preserve">Stage 5: Synthesis &amp; Interpretation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Assess which Angelini functional clusters have strong cross-species support from mouse models, which have partial support with caveats, and which lack adequate in vivo validation. Evaluate mouse model severity relative to human disease severity. Identify gaps in available mouse model phenotyping and recommend additional experiments to validate human-relevant phenotypes.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Cross-species concordance data from Stage 3</w:t>
      </w:r>
    </w:p>
    <w:p>
      <w:pPr>
        <w:pStyle w:val="ListParagraph"/>
        <w:numPr>
          <w:ilvl w:val="0"/>
          <w:numId w:val="2"/>
        </w:numPr>
      </w:pPr>
      <w:r>
        <w:rPr>
          <w:rFonts w:ascii="Arial" w:cs="Arial" w:eastAsia="Arial" w:hAnsi="Arial"/>
          <w:sz w:val="24"/>
          <w:szCs w:val="24"/>
        </w:rPr>
        <w:t xml:space="preserve">Human disease severity metrics</w:t>
      </w:r>
    </w:p>
    <w:p>
      <w:pPr>
        <w:pStyle w:val="ListParagraph"/>
        <w:numPr>
          <w:ilvl w:val="0"/>
          <w:numId w:val="2"/>
        </w:numPr>
      </w:pPr>
      <w:r>
        <w:rPr>
          <w:rFonts w:ascii="Arial" w:cs="Arial" w:eastAsia="Arial" w:hAnsi="Arial"/>
          <w:sz w:val="24"/>
          <w:szCs w:val="24"/>
        </w:rPr>
        <w:t xml:space="preserve">Mouse model phenotype severity assessment</w:t>
      </w:r>
    </w:p>
    <w:p>
      <w:pPr>
        <w:pStyle w:val="ListParagraph"/>
        <w:numPr>
          <w:ilvl w:val="0"/>
          <w:numId w:val="2"/>
        </w:numPr>
      </w:pPr>
      <w:r>
        <w:rPr>
          <w:rFonts w:ascii="Arial" w:cs="Arial" w:eastAsia="Arial" w:hAnsi="Arial"/>
          <w:sz w:val="24"/>
          <w:szCs w:val="24"/>
        </w:rPr>
        <w:t xml:space="preserve">Available vs needed phenotyping data</w:t>
      </w:r>
    </w:p>
    <w:p>
      <w:pPr>
        <w:pStyle w:val="ListParagraph"/>
        <w:numPr>
          <w:ilvl w:val="0"/>
          <w:numId w:val="2"/>
        </w:numPr>
      </w:pPr>
      <w:r>
        <w:rPr>
          <w:rFonts w:ascii="Arial" w:cs="Arial" w:eastAsia="Arial" w:hAnsi="Arial"/>
          <w:sz w:val="24"/>
          <w:szCs w:val="24"/>
        </w:rPr>
        <w:t xml:space="preserve">Phenotypic validation strength assessment</w:t>
      </w:r>
    </w:p>
    <w:p>
      <w:pPr>
        <w:pStyle w:val="ListParagraph"/>
        <w:numPr>
          <w:ilvl w:val="0"/>
          <w:numId w:val="2"/>
        </w:numPr>
      </w:pPr>
      <w:r>
        <w:rPr>
          <w:rFonts w:ascii="Arial" w:cs="Arial" w:eastAsia="Arial" w:hAnsi="Arial"/>
          <w:sz w:val="24"/>
          <w:szCs w:val="24"/>
        </w:rPr>
        <w:t xml:space="preserve">Experimental feasibility for follow-up studies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Severity scoring systems for seizures and behavior</w:t>
      </w:r>
    </w:p>
    <w:p>
      <w:pPr>
        <w:pStyle w:val="ListParagraph"/>
        <w:numPr>
          <w:ilvl w:val="0"/>
          <w:numId w:val="2"/>
        </w:numPr>
      </w:pPr>
      <w:r>
        <w:rPr>
          <w:rFonts w:ascii="Arial" w:cs="Arial" w:eastAsia="Arial" w:hAnsi="Arial"/>
          <w:sz w:val="24"/>
          <w:szCs w:val="24"/>
        </w:rPr>
        <w:t xml:space="preserve">Disease severity comparison metrics</w:t>
      </w:r>
    </w:p>
    <w:p>
      <w:pPr>
        <w:pStyle w:val="ListParagraph"/>
        <w:numPr>
          <w:ilvl w:val="0"/>
          <w:numId w:val="2"/>
        </w:numPr>
      </w:pPr>
      <w:r>
        <w:rPr>
          <w:rFonts w:ascii="Arial" w:cs="Arial" w:eastAsia="Arial" w:hAnsi="Arial"/>
          <w:sz w:val="24"/>
          <w:szCs w:val="24"/>
        </w:rPr>
        <w:t xml:space="preserve">Gap analysis for phenotyping completeness</w:t>
      </w:r>
    </w:p>
    <w:p>
      <w:pPr>
        <w:pStyle w:val="ListParagraph"/>
        <w:numPr>
          <w:ilvl w:val="0"/>
          <w:numId w:val="2"/>
        </w:numPr>
      </w:pPr>
      <w:r>
        <w:rPr>
          <w:rFonts w:ascii="Arial" w:cs="Arial" w:eastAsia="Arial" w:hAnsi="Arial"/>
          <w:sz w:val="24"/>
          <w:szCs w:val="24"/>
        </w:rPr>
        <w:t xml:space="preserve">Experimental design planning tools</w:t>
      </w:r>
    </w:p>
    <w:p>
      <w:pPr>
        <w:pStyle w:val="ListParagraph"/>
        <w:numPr>
          <w:ilvl w:val="0"/>
          <w:numId w:val="2"/>
        </w:numPr>
      </w:pPr>
      <w:r>
        <w:rPr>
          <w:rFonts w:ascii="Arial" w:cs="Arial" w:eastAsia="Arial" w:hAnsi="Arial"/>
          <w:sz w:val="24"/>
          <w:szCs w:val="24"/>
        </w:rPr>
        <w:t xml:space="preserve">Study power analysis for validation experiments</w:t>
      </w:r>
    </w:p>
    <w:p>
      <w:pPr>
        <w:pStyle w:val="ListParagraph"/>
        <w:numPr>
          <w:ilvl w:val="0"/>
          <w:numId w:val="2"/>
        </w:numPr>
      </w:pPr>
      <w:r>
        <w:rPr>
          <w:rFonts w:ascii="Arial" w:cs="Arial" w:eastAsia="Arial" w:hAnsi="Arial"/>
          <w:sz w:val="24"/>
          <w:szCs w:val="24"/>
        </w:rPr>
        <w:t xml:space="preserve">Cost-benefit analysis for model improvements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Which mouse models best recapitulate the human DEE phenotypes?</w:t>
      </w:r>
    </w:p>
    <w:p>
      <w:pPr>
        <w:pStyle w:val="ListParagraph"/>
        <w:numPr>
          <w:ilvl w:val="0"/>
          <w:numId w:val="2"/>
        </w:numPr>
      </w:pPr>
      <w:r>
        <w:rPr>
          <w:rFonts w:ascii="Arial" w:cs="Arial" w:eastAsia="Arial" w:hAnsi="Arial"/>
          <w:i/>
          <w:iCs/>
          <w:sz w:val="24"/>
          <w:szCs w:val="24"/>
        </w:rPr>
        <w:t xml:space="preserve">Are mouse seizures as severe as human seizures in DEE?</w:t>
      </w:r>
    </w:p>
    <w:p>
      <w:pPr>
        <w:pStyle w:val="ListParagraph"/>
        <w:numPr>
          <w:ilvl w:val="0"/>
          <w:numId w:val="2"/>
        </w:numPr>
      </w:pPr>
      <w:r>
        <w:rPr>
          <w:rFonts w:ascii="Arial" w:cs="Arial" w:eastAsia="Arial" w:hAnsi="Arial"/>
          <w:i/>
          <w:iCs/>
          <w:sz w:val="24"/>
          <w:szCs w:val="24"/>
        </w:rPr>
        <w:t xml:space="preserve">What additional phenotyping would strengthen validation of functional clusters?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Cross-species validation strength assessment</w:t>
      </w:r>
    </w:p>
    <w:p>
      <w:pPr>
        <w:pStyle w:val="ListParagraph"/>
        <w:numPr>
          <w:ilvl w:val="0"/>
          <w:numId w:val="2"/>
        </w:numPr>
      </w:pPr>
      <w:r>
        <w:rPr>
          <w:rFonts w:ascii="Arial" w:cs="Arial" w:eastAsia="Arial" w:hAnsi="Arial"/>
          <w:sz w:val="24"/>
          <w:szCs w:val="24"/>
        </w:rPr>
        <w:t xml:space="preserve">Gaps in mouse model phenotyping identification</w:t>
      </w:r>
    </w:p>
    <w:p>
      <w:pPr>
        <w:pStyle w:val="ListParagraph"/>
        <w:numPr>
          <w:ilvl w:val="0"/>
          <w:numId w:val="2"/>
        </w:numPr>
      </w:pPr>
      <w:r>
        <w:rPr>
          <w:rFonts w:ascii="Arial" w:cs="Arial" w:eastAsia="Arial" w:hAnsi="Arial"/>
          <w:sz w:val="24"/>
          <w:szCs w:val="24"/>
        </w:rPr>
        <w:t xml:space="preserve">Recommendations for additional experiments</w:t>
      </w:r>
    </w:p>
    <w:p>
      <w:pPr>
        <w:pStyle w:val="ListParagraph"/>
        <w:numPr>
          <w:ilvl w:val="0"/>
          <w:numId w:val="2"/>
        </w:numPr>
      </w:pPr>
      <w:r>
        <w:rPr>
          <w:rFonts w:ascii="Arial" w:cs="Arial" w:eastAsia="Arial" w:hAnsi="Arial"/>
          <w:sz w:val="24"/>
          <w:szCs w:val="24"/>
        </w:rPr>
        <w:t xml:space="preserve">Disease severity comparison table</w:t>
      </w:r>
    </w:p>
    <w:p>
      <w:pPr>
        <w:pStyle w:val="ListParagraph"/>
        <w:numPr>
          <w:ilvl w:val="0"/>
          <w:numId w:val="2"/>
        </w:numPr>
      </w:pPr>
      <w:r>
        <w:rPr>
          <w:rFonts w:ascii="Arial" w:cs="Arial" w:eastAsia="Arial" w:hAnsi="Arial"/>
          <w:sz w:val="24"/>
          <w:szCs w:val="24"/>
        </w:rPr>
        <w:t xml:space="preserve">Prioritized validation roadmap</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Validation assessment report (PDF) with gap analysis tables and experimental recommendations</w:t>
      </w:r>
    </w:p>
    <w:p>
      <w:pPr>
        <w:pStyle w:val="Heading2"/>
      </w:pPr>
      <w:r>
        <w:rPr>
          <w:rFonts w:ascii="Arial" w:cs="Arial" w:eastAsia="Arial" w:hAnsi="Arial"/>
          <w:b/>
          <w:bCs/>
          <w:sz w:val="28"/>
          <w:szCs w:val="28"/>
        </w:rPr>
        <w:t xml:space="preserve">Stage 6: Output Generation &amp; Delivery</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Synthesize cross-species validation findings into comprehensive framework supporting or modifying Angelini functional cluster assignments. Prepare publication-ready figures demonstrating cross-species phenotype conservation. Develop integrated model of DEE gene dysfunction spanning molecular, cellular, circuit, and organism levels. Create recommendations for leveraging mouse models in DEE precision medicine.</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All cross-species validation analyses</w:t>
      </w:r>
    </w:p>
    <w:p>
      <w:pPr>
        <w:pStyle w:val="ListParagraph"/>
        <w:numPr>
          <w:ilvl w:val="0"/>
          <w:numId w:val="2"/>
        </w:numPr>
      </w:pPr>
      <w:r>
        <w:rPr>
          <w:rFonts w:ascii="Arial" w:cs="Arial" w:eastAsia="Arial" w:hAnsi="Arial"/>
          <w:sz w:val="24"/>
          <w:szCs w:val="24"/>
        </w:rPr>
        <w:t xml:space="preserve">Comprehensive phenotype concordance data</w:t>
      </w:r>
    </w:p>
    <w:p>
      <w:pPr>
        <w:pStyle w:val="ListParagraph"/>
        <w:numPr>
          <w:ilvl w:val="0"/>
          <w:numId w:val="2"/>
        </w:numPr>
      </w:pPr>
      <w:r>
        <w:rPr>
          <w:rFonts w:ascii="Arial" w:cs="Arial" w:eastAsia="Arial" w:hAnsi="Arial"/>
          <w:sz w:val="24"/>
          <w:szCs w:val="24"/>
        </w:rPr>
        <w:t xml:space="preserve">Mechanistic mechanism syntheses</w:t>
      </w:r>
    </w:p>
    <w:p>
      <w:pPr>
        <w:pStyle w:val="ListParagraph"/>
        <w:numPr>
          <w:ilvl w:val="0"/>
          <w:numId w:val="2"/>
        </w:numPr>
      </w:pPr>
      <w:r>
        <w:rPr>
          <w:rFonts w:ascii="Arial" w:cs="Arial" w:eastAsia="Arial" w:hAnsi="Arial"/>
          <w:sz w:val="24"/>
          <w:szCs w:val="24"/>
        </w:rPr>
        <w:t xml:space="preserve">Publication-quality visualizations</w:t>
      </w:r>
    </w:p>
    <w:p>
      <w:pPr>
        <w:pStyle w:val="ListParagraph"/>
        <w:numPr>
          <w:ilvl w:val="0"/>
          <w:numId w:val="2"/>
        </w:numPr>
      </w:pPr>
      <w:r>
        <w:rPr>
          <w:rFonts w:ascii="Arial" w:cs="Arial" w:eastAsia="Arial" w:hAnsi="Arial"/>
          <w:sz w:val="24"/>
          <w:szCs w:val="24"/>
        </w:rPr>
        <w:t xml:space="preserve">Integrated multi-scale model data</w:t>
      </w:r>
    </w:p>
    <w:p>
      <w:pPr>
        <w:pStyle w:val="ListParagraph"/>
        <w:numPr>
          <w:ilvl w:val="0"/>
          <w:numId w:val="2"/>
        </w:numPr>
      </w:pPr>
      <w:r>
        <w:rPr>
          <w:rFonts w:ascii="Arial" w:cs="Arial" w:eastAsia="Arial" w:hAnsi="Arial"/>
          <w:sz w:val="24"/>
          <w:szCs w:val="24"/>
        </w:rPr>
        <w:t xml:space="preserve">Clinical implications and recommendations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Publication preparation software (LaTeX, Office)</w:t>
      </w:r>
    </w:p>
    <w:p>
      <w:pPr>
        <w:pStyle w:val="ListParagraph"/>
        <w:numPr>
          <w:ilvl w:val="0"/>
          <w:numId w:val="2"/>
        </w:numPr>
      </w:pPr>
      <w:r>
        <w:rPr>
          <w:rFonts w:ascii="Arial" w:cs="Arial" w:eastAsia="Arial" w:hAnsi="Arial"/>
          <w:sz w:val="24"/>
          <w:szCs w:val="24"/>
        </w:rPr>
        <w:t xml:space="preserve">Advanced visualization (ggplot2, plotly, Inkscape)</w:t>
      </w:r>
    </w:p>
    <w:p>
      <w:pPr>
        <w:pStyle w:val="ListParagraph"/>
        <w:numPr>
          <w:ilvl w:val="0"/>
          <w:numId w:val="2"/>
        </w:numPr>
      </w:pPr>
      <w:r>
        <w:rPr>
          <w:rFonts w:ascii="Arial" w:cs="Arial" w:eastAsia="Arial" w:hAnsi="Arial"/>
          <w:sz w:val="24"/>
          <w:szCs w:val="24"/>
        </w:rPr>
        <w:t xml:space="preserve">Systems biology visualization tools</w:t>
      </w:r>
    </w:p>
    <w:p>
      <w:pPr>
        <w:pStyle w:val="ListParagraph"/>
        <w:numPr>
          <w:ilvl w:val="0"/>
          <w:numId w:val="2"/>
        </w:numPr>
      </w:pPr>
      <w:r>
        <w:rPr>
          <w:rFonts w:ascii="Arial" w:cs="Arial" w:eastAsia="Arial" w:hAnsi="Arial"/>
          <w:sz w:val="24"/>
          <w:szCs w:val="24"/>
        </w:rPr>
        <w:t xml:space="preserve">Integrated pathway and network diagrams</w:t>
      </w:r>
    </w:p>
    <w:p>
      <w:pPr>
        <w:pStyle w:val="ListParagraph"/>
        <w:numPr>
          <w:ilvl w:val="0"/>
          <w:numId w:val="2"/>
        </w:numPr>
      </w:pPr>
      <w:r>
        <w:rPr>
          <w:rFonts w:ascii="Arial" w:cs="Arial" w:eastAsia="Arial" w:hAnsi="Arial"/>
          <w:sz w:val="24"/>
          <w:szCs w:val="24"/>
        </w:rPr>
        <w:t xml:space="preserve">Scientific presentation tools</w:t>
      </w:r>
    </w:p>
    <w:p>
      <w:pPr>
        <w:pStyle w:val="ListParagraph"/>
        <w:numPr>
          <w:ilvl w:val="0"/>
          <w:numId w:val="2"/>
        </w:numPr>
      </w:pPr>
      <w:r>
        <w:rPr>
          <w:rFonts w:ascii="Arial" w:cs="Arial" w:eastAsia="Arial" w:hAnsi="Arial"/>
          <w:sz w:val="24"/>
          <w:szCs w:val="24"/>
        </w:rPr>
        <w:t xml:space="preserve">Open science data repository (Zenodo, OSF)</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What are the strongest cross-species validations of Angelini clusters?</w:t>
      </w:r>
    </w:p>
    <w:p>
      <w:pPr>
        <w:pStyle w:val="ListParagraph"/>
        <w:numPr>
          <w:ilvl w:val="0"/>
          <w:numId w:val="2"/>
        </w:numPr>
      </w:pPr>
      <w:r>
        <w:rPr>
          <w:rFonts w:ascii="Arial" w:cs="Arial" w:eastAsia="Arial" w:hAnsi="Arial"/>
          <w:i/>
          <w:iCs/>
          <w:sz w:val="24"/>
          <w:szCs w:val="24"/>
        </w:rPr>
        <w:t xml:space="preserve">How can mouse models be leveraged for DEE therapeutic development and validation?</w:t>
      </w:r>
    </w:p>
    <w:p>
      <w:pPr>
        <w:pStyle w:val="ListParagraph"/>
        <w:numPr>
          <w:ilvl w:val="0"/>
          <w:numId w:val="2"/>
        </w:numPr>
      </w:pPr>
      <w:r>
        <w:rPr>
          <w:rFonts w:ascii="Arial" w:cs="Arial" w:eastAsia="Arial" w:hAnsi="Arial"/>
          <w:i/>
          <w:iCs/>
          <w:sz w:val="24"/>
          <w:szCs w:val="24"/>
        </w:rPr>
        <w:t xml:space="preserve">What is the integrated multi-scale model of DEE gene dysfunction?</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Cross-species validation publication manuscript</w:t>
      </w:r>
    </w:p>
    <w:p>
      <w:pPr>
        <w:pStyle w:val="ListParagraph"/>
        <w:numPr>
          <w:ilvl w:val="0"/>
          <w:numId w:val="2"/>
        </w:numPr>
      </w:pPr>
      <w:r>
        <w:rPr>
          <w:rFonts w:ascii="Arial" w:cs="Arial" w:eastAsia="Arial" w:hAnsi="Arial"/>
          <w:sz w:val="24"/>
          <w:szCs w:val="24"/>
        </w:rPr>
        <w:t xml:space="preserve">Publication-ready validation figures (12-15)</w:t>
      </w:r>
    </w:p>
    <w:p>
      <w:pPr>
        <w:pStyle w:val="ListParagraph"/>
        <w:numPr>
          <w:ilvl w:val="0"/>
          <w:numId w:val="2"/>
        </w:numPr>
      </w:pPr>
      <w:r>
        <w:rPr>
          <w:rFonts w:ascii="Arial" w:cs="Arial" w:eastAsia="Arial" w:hAnsi="Arial"/>
          <w:sz w:val="24"/>
          <w:szCs w:val="24"/>
        </w:rPr>
        <w:t xml:space="preserve">Integrated multi-scale disease model</w:t>
      </w:r>
    </w:p>
    <w:p>
      <w:pPr>
        <w:pStyle w:val="ListParagraph"/>
        <w:numPr>
          <w:ilvl w:val="0"/>
          <w:numId w:val="2"/>
        </w:numPr>
      </w:pPr>
      <w:r>
        <w:rPr>
          <w:rFonts w:ascii="Arial" w:cs="Arial" w:eastAsia="Arial" w:hAnsi="Arial"/>
          <w:sz w:val="24"/>
          <w:szCs w:val="24"/>
        </w:rPr>
        <w:t xml:space="preserve">Mouse model application recommendations</w:t>
      </w:r>
    </w:p>
    <w:p>
      <w:pPr>
        <w:pStyle w:val="ListParagraph"/>
        <w:numPr>
          <w:ilvl w:val="0"/>
          <w:numId w:val="2"/>
        </w:numPr>
      </w:pPr>
      <w:r>
        <w:rPr>
          <w:rFonts w:ascii="Arial" w:cs="Arial" w:eastAsia="Arial" w:hAnsi="Arial"/>
          <w:sz w:val="24"/>
          <w:szCs w:val="24"/>
        </w:rPr>
        <w:t xml:space="preserve">Open data repository with analysis code</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Publication manuscript (PDF) with supplementary data, computational code, and integrated disease model framework</w:t>
      </w:r>
    </w:p>
    <w:p>
      <w:pPr>
        <w:pStyle w:val="Heading2"/>
      </w:pPr>
      <w:r>
        <w:rPr>
          <w:rFonts w:ascii="Arial" w:cs="Arial" w:eastAsia="Arial" w:hAnsi="Arial"/>
          <w:b/>
          <w:bCs/>
          <w:sz w:val="28"/>
          <w:szCs w:val="28"/>
        </w:rPr>
        <w:t xml:space="preserve">Comprehensive Tools &amp; Databases Summary</w:t>
      </w:r>
    </w:p>
    <w:p>
      <w:pPr>
        <w:pStyle w:val="ListParagraph"/>
        <w:numPr>
          <w:ilvl w:val="0"/>
          <w:numId w:val="2"/>
        </w:numPr>
      </w:pPr>
      <w:r>
        <w:rPr>
          <w:rFonts w:ascii="Arial" w:cs="Arial" w:eastAsia="Arial" w:hAnsi="Arial"/>
          <w:sz w:val="24"/>
          <w:szCs w:val="24"/>
        </w:rPr>
        <w:t xml:space="preserve">IMPC REST API for mouse phenotyping data</w:t>
      </w:r>
    </w:p>
    <w:p>
      <w:pPr>
        <w:pStyle w:val="ListParagraph"/>
        <w:numPr>
          <w:ilvl w:val="0"/>
          <w:numId w:val="2"/>
        </w:numPr>
      </w:pPr>
      <w:r>
        <w:rPr>
          <w:rFonts w:ascii="Arial" w:cs="Arial" w:eastAsia="Arial" w:hAnsi="Arial"/>
          <w:sz w:val="24"/>
          <w:szCs w:val="24"/>
        </w:rPr>
        <w:t xml:space="preserve">MGI (Mouse Genome Informatics) database</w:t>
      </w:r>
    </w:p>
    <w:p>
      <w:pPr>
        <w:pStyle w:val="ListParagraph"/>
        <w:numPr>
          <w:ilvl w:val="0"/>
          <w:numId w:val="2"/>
        </w:numPr>
      </w:pPr>
      <w:r>
        <w:rPr>
          <w:rFonts w:ascii="Arial" w:cs="Arial" w:eastAsia="Arial" w:hAnsi="Arial"/>
          <w:sz w:val="24"/>
          <w:szCs w:val="24"/>
        </w:rPr>
        <w:t xml:space="preserve">PubMed/MEDLINE literature search API</w:t>
      </w:r>
    </w:p>
    <w:p>
      <w:pPr>
        <w:pStyle w:val="ListParagraph"/>
        <w:numPr>
          <w:ilvl w:val="0"/>
          <w:numId w:val="2"/>
        </w:numPr>
      </w:pPr>
      <w:r>
        <w:rPr>
          <w:rFonts w:ascii="Arial" w:cs="Arial" w:eastAsia="Arial" w:hAnsi="Arial"/>
          <w:sz w:val="24"/>
          <w:szCs w:val="24"/>
        </w:rPr>
        <w:t xml:space="preserve">Mouse Brain Imaging Resource (BIRN)</w:t>
      </w:r>
    </w:p>
    <w:p>
      <w:pPr>
        <w:pStyle w:val="ListParagraph"/>
        <w:numPr>
          <w:ilvl w:val="0"/>
          <w:numId w:val="2"/>
        </w:numPr>
      </w:pPr>
      <w:r>
        <w:rPr>
          <w:rFonts w:ascii="Arial" w:cs="Arial" w:eastAsia="Arial" w:hAnsi="Arial"/>
          <w:sz w:val="24"/>
          <w:szCs w:val="24"/>
        </w:rPr>
        <w:t xml:space="preserve">Allen Brain Atlas for neuroanatomy</w:t>
      </w:r>
    </w:p>
    <w:p>
      <w:pPr>
        <w:pStyle w:val="ListParagraph"/>
        <w:numPr>
          <w:ilvl w:val="0"/>
          <w:numId w:val="2"/>
        </w:numPr>
      </w:pPr>
      <w:r>
        <w:rPr>
          <w:rFonts w:ascii="Arial" w:cs="Arial" w:eastAsia="Arial" w:hAnsi="Arial"/>
          <w:sz w:val="24"/>
          <w:szCs w:val="24"/>
        </w:rPr>
        <w:t xml:space="preserve">Mammalian Phenotype Ontology (MPO)</w:t>
      </w:r>
    </w:p>
    <w:p>
      <w:pPr>
        <w:pStyle w:val="ListParagraph"/>
        <w:numPr>
          <w:ilvl w:val="0"/>
          <w:numId w:val="2"/>
        </w:numPr>
      </w:pPr>
      <w:r>
        <w:rPr>
          <w:rFonts w:ascii="Arial" w:cs="Arial" w:eastAsia="Arial" w:hAnsi="Arial"/>
          <w:sz w:val="24"/>
          <w:szCs w:val="24"/>
        </w:rPr>
        <w:t xml:space="preserve">Phenotypic Quality Ontology (PATO)</w:t>
      </w:r>
    </w:p>
    <w:p>
      <w:pPr>
        <w:pStyle w:val="ListParagraph"/>
        <w:numPr>
          <w:ilvl w:val="0"/>
          <w:numId w:val="2"/>
        </w:numPr>
      </w:pPr>
      <w:r>
        <w:rPr>
          <w:rFonts w:ascii="Arial" w:cs="Arial" w:eastAsia="Arial" w:hAnsi="Arial"/>
          <w:sz w:val="24"/>
          <w:szCs w:val="24"/>
        </w:rPr>
        <w:t xml:space="preserve">Semantic similarity calculation tools</w:t>
      </w:r>
    </w:p>
    <w:p>
      <w:pPr>
        <w:pStyle w:val="ListParagraph"/>
        <w:numPr>
          <w:ilvl w:val="0"/>
          <w:numId w:val="2"/>
        </w:numPr>
      </w:pPr>
      <w:r>
        <w:rPr>
          <w:rFonts w:ascii="Arial" w:cs="Arial" w:eastAsia="Arial" w:hAnsi="Arial"/>
          <w:sz w:val="24"/>
          <w:szCs w:val="24"/>
        </w:rPr>
        <w:t xml:space="preserve">Ensembl cross-species orthology</w:t>
      </w:r>
    </w:p>
    <w:p>
      <w:pPr>
        <w:pStyle w:val="ListParagraph"/>
        <w:numPr>
          <w:ilvl w:val="0"/>
          <w:numId w:val="2"/>
        </w:numPr>
      </w:pPr>
      <w:r>
        <w:rPr>
          <w:rFonts w:ascii="Arial" w:cs="Arial" w:eastAsia="Arial" w:hAnsi="Arial"/>
          <w:sz w:val="24"/>
          <w:szCs w:val="24"/>
        </w:rPr>
        <w:t xml:space="preserve">NCBI Homologene orthology database</w:t>
      </w:r>
    </w:p>
    <w:p>
      <w:pPr>
        <w:pStyle w:val="ListParagraph"/>
        <w:numPr>
          <w:ilvl w:val="0"/>
          <w:numId w:val="2"/>
        </w:numPr>
      </w:pPr>
      <w:r>
        <w:rPr>
          <w:rFonts w:ascii="Arial" w:cs="Arial" w:eastAsia="Arial" w:hAnsi="Arial"/>
          <w:sz w:val="24"/>
          <w:szCs w:val="24"/>
        </w:rPr>
        <w:t xml:space="preserve">KEGG pathway conservation</w:t>
      </w:r>
    </w:p>
    <w:p>
      <w:pPr>
        <w:pStyle w:val="ListParagraph"/>
        <w:numPr>
          <w:ilvl w:val="0"/>
          <w:numId w:val="2"/>
        </w:numPr>
      </w:pPr>
      <w:r>
        <w:rPr>
          <w:rFonts w:ascii="Arial" w:cs="Arial" w:eastAsia="Arial" w:hAnsi="Arial"/>
          <w:sz w:val="24"/>
          <w:szCs w:val="24"/>
        </w:rPr>
        <w:t xml:space="preserve">Adjusted Rand Index clustering metric</w:t>
      </w:r>
    </w:p>
    <w:p>
      <w:pPr>
        <w:pStyle w:val="ListParagraph"/>
        <w:numPr>
          <w:ilvl w:val="0"/>
          <w:numId w:val="2"/>
        </w:numPr>
      </w:pPr>
      <w:r>
        <w:rPr>
          <w:rFonts w:ascii="Arial" w:cs="Arial" w:eastAsia="Arial" w:hAnsi="Arial"/>
          <w:sz w:val="24"/>
          <w:szCs w:val="24"/>
        </w:rPr>
        <w:t xml:space="preserve">Correlation analysis tools</w:t>
      </w:r>
    </w:p>
    <w:p>
      <w:pPr>
        <w:pStyle w:val="ListParagraph"/>
        <w:numPr>
          <w:ilvl w:val="0"/>
          <w:numId w:val="2"/>
        </w:numPr>
      </w:pPr>
      <w:r>
        <w:rPr>
          <w:rFonts w:ascii="Arial" w:cs="Arial" w:eastAsia="Arial" w:hAnsi="Arial"/>
          <w:sz w:val="24"/>
          <w:szCs w:val="24"/>
        </w:rPr>
        <w:t xml:space="preserve">Hierarchical clustering algorithms</w:t>
      </w:r>
    </w:p>
    <w:p>
      <w:pPr>
        <w:pStyle w:val="ListParagraph"/>
        <w:numPr>
          <w:ilvl w:val="0"/>
          <w:numId w:val="2"/>
        </w:numPr>
      </w:pPr>
      <w:r>
        <w:rPr>
          <w:rFonts w:ascii="Arial" w:cs="Arial" w:eastAsia="Arial" w:hAnsi="Arial"/>
          <w:sz w:val="24"/>
          <w:szCs w:val="24"/>
        </w:rPr>
        <w:t xml:space="preserve">Network topology comparison tools</w:t>
      </w:r>
    </w:p>
    <w:p>
      <w:pPr>
        <w:pStyle w:val="ListParagraph"/>
        <w:numPr>
          <w:ilvl w:val="0"/>
          <w:numId w:val="2"/>
        </w:numPr>
      </w:pPr>
      <w:r>
        <w:rPr>
          <w:rFonts w:ascii="Arial" w:cs="Arial" w:eastAsia="Arial" w:hAnsi="Arial"/>
          <w:sz w:val="24"/>
          <w:szCs w:val="24"/>
        </w:rPr>
        <w:t xml:space="preserve">Graph isomorphism algorithms</w:t>
      </w:r>
    </w:p>
    <w:p>
      <w:pPr>
        <w:pStyle w:val="ListParagraph"/>
        <w:numPr>
          <w:ilvl w:val="0"/>
          <w:numId w:val="2"/>
        </w:numPr>
      </w:pPr>
      <w:r>
        <w:rPr>
          <w:rFonts w:ascii="Arial" w:cs="Arial" w:eastAsia="Arial" w:hAnsi="Arial"/>
          <w:sz w:val="24"/>
          <w:szCs w:val="24"/>
        </w:rPr>
        <w:t xml:space="preserve">Allen Brain Atlas visualization</w:t>
      </w:r>
    </w:p>
    <w:p>
      <w:pPr>
        <w:pStyle w:val="ListParagraph"/>
        <w:numPr>
          <w:ilvl w:val="0"/>
          <w:numId w:val="2"/>
        </w:numPr>
      </w:pPr>
      <w:r>
        <w:rPr>
          <w:rFonts w:ascii="Arial" w:cs="Arial" w:eastAsia="Arial" w:hAnsi="Arial"/>
          <w:sz w:val="24"/>
          <w:szCs w:val="24"/>
        </w:rPr>
        <w:t xml:space="preserve">CoCoMac brain connectivity database</w:t>
      </w:r>
    </w:p>
    <w:p>
      <w:pPr>
        <w:pStyle w:val="ListParagraph"/>
        <w:numPr>
          <w:ilvl w:val="0"/>
          <w:numId w:val="2"/>
        </w:numPr>
      </w:pPr>
      <w:r>
        <w:rPr>
          <w:rFonts w:ascii="Arial" w:cs="Arial" w:eastAsia="Arial" w:hAnsi="Arial"/>
          <w:sz w:val="24"/>
          <w:szCs w:val="24"/>
        </w:rPr>
        <w:t xml:space="preserve">BAMS (Brain Architecture Management System)</w:t>
      </w:r>
    </w:p>
    <w:p>
      <w:pPr>
        <w:pStyle w:val="ListParagraph"/>
        <w:numPr>
          <w:ilvl w:val="0"/>
          <w:numId w:val="2"/>
        </w:numPr>
      </w:pPr>
      <w:r>
        <w:rPr>
          <w:rFonts w:ascii="Arial" w:cs="Arial" w:eastAsia="Arial" w:hAnsi="Arial"/>
          <w:sz w:val="24"/>
          <w:szCs w:val="24"/>
        </w:rPr>
        <w:t xml:space="preserve">Developmental transcriptomics databases</w:t>
      </w:r>
    </w:p>
    <w:p>
      <w:pPr>
        <w:pStyle w:val="ListParagraph"/>
        <w:numPr>
          <w:ilvl w:val="0"/>
          <w:numId w:val="2"/>
        </w:numPr>
      </w:pPr>
      <w:r>
        <w:rPr>
          <w:rFonts w:ascii="Arial" w:cs="Arial" w:eastAsia="Arial" w:hAnsi="Arial"/>
          <w:sz w:val="24"/>
          <w:szCs w:val="24"/>
        </w:rPr>
        <w:t xml:space="preserve">Seizure circuit computational models</w:t>
      </w:r>
    </w:p>
    <w:p>
      <w:pPr>
        <w:pStyle w:val="ListParagraph"/>
        <w:numPr>
          <w:ilvl w:val="0"/>
          <w:numId w:val="2"/>
        </w:numPr>
      </w:pPr>
      <w:r>
        <w:rPr>
          <w:rFonts w:ascii="Arial" w:cs="Arial" w:eastAsia="Arial" w:hAnsi="Arial"/>
          <w:sz w:val="24"/>
          <w:szCs w:val="24"/>
        </w:rPr>
        <w:t xml:space="preserve">Phenotype severity scoring systems</w:t>
      </w:r>
    </w:p>
    <w:p>
      <w:pPr>
        <w:pStyle w:val="ListParagraph"/>
        <w:numPr>
          <w:ilvl w:val="0"/>
          <w:numId w:val="2"/>
        </w:numPr>
      </w:pPr>
      <w:r>
        <w:rPr>
          <w:rFonts w:ascii="Arial" w:cs="Arial" w:eastAsia="Arial" w:hAnsi="Arial"/>
          <w:sz w:val="24"/>
          <w:szCs w:val="24"/>
        </w:rPr>
        <w:t xml:space="preserve">Gap analysis and validation planning tools</w:t>
      </w:r>
    </w:p>
    <w:p>
      <w:pPr>
        <w:pStyle w:val="ListParagraph"/>
        <w:numPr>
          <w:ilvl w:val="0"/>
          <w:numId w:val="2"/>
        </w:numPr>
      </w:pPr>
      <w:r>
        <w:rPr>
          <w:rFonts w:ascii="Arial" w:cs="Arial" w:eastAsia="Arial" w:hAnsi="Arial"/>
          <w:sz w:val="24"/>
          <w:szCs w:val="24"/>
        </w:rPr>
        <w:t xml:space="preserve">Statistical power analysis for experiments</w:t>
      </w:r>
    </w:p>
    <w:p>
      <w:pPr>
        <w:pStyle w:val="ListParagraph"/>
        <w:numPr>
          <w:ilvl w:val="0"/>
          <w:numId w:val="2"/>
        </w:numPr>
      </w:pPr>
      <w:r>
        <w:rPr>
          <w:rFonts w:ascii="Arial" w:cs="Arial" w:eastAsia="Arial" w:hAnsi="Arial"/>
          <w:sz w:val="24"/>
          <w:szCs w:val="24"/>
        </w:rPr>
        <w:t xml:space="preserve">Cost-benefit analysis tools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2026-03-25T18:23:27.681Z</dcterms:created>
  <dcterms:modified xsi:type="dcterms:W3CDTF">2026-03-25T18:23:27.681Z</dcterms:modified>
</cp:coreProperties>
</file>

<file path=docProps/custom.xml><?xml version="1.0" encoding="utf-8"?>
<Properties xmlns="http://schemas.openxmlformats.org/officeDocument/2006/custom-properties" xmlns:vt="http://schemas.openxmlformats.org/officeDocument/2006/docPropsVTypes"/>
</file>