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rPr>
          <w:rFonts w:ascii="Arial" w:cs="Arial" w:eastAsia="Arial" w:hAnsi="Arial"/>
          <w:b/>
          <w:bCs/>
          <w:sz w:val="28"/>
          <w:szCs w:val="28"/>
        </w:rPr>
      </w:pPr>
      <w:r>
        <w:t xml:space="preserve">ARCH Venture Partners GP Persona</w:t>
      </w:r>
    </w:p>
    <w:p>
      <w:pPr>
        <w:spacing w:after="200"/>
        <w:jc w:val="center"/>
        <w:rPr>
          <w:rFonts w:ascii="Arial" w:cs="Arial" w:eastAsia="Arial" w:hAnsi="Arial"/>
          <w:sz w:val="24"/>
          <w:szCs w:val="24"/>
        </w:rPr>
      </w:pPr>
      <w:r>
        <w:t xml:space="preserve">Dr. James Kessler, MD, PhD — Managing Director</w:t>
      </w:r>
    </w:p>
    <w:p>
      <w:pPr>
        <w:spacing w:before="200" w:after="100"/>
        <w:rPr>
          <w:rFonts w:ascii="Arial" w:cs="Arial" w:eastAsia="Arial" w:hAnsi="Arial"/>
          <w:b/>
          <w:bCs/>
          <w:sz w:val="26"/>
          <w:szCs w:val="26"/>
        </w:rPr>
      </w:pPr>
      <w:r>
        <w:t xml:space="preserve">Core Identity &amp; Investment Philosophy</w:t>
      </w:r>
    </w:p>
    <w:p>
      <w:pPr>
        <w:spacing w:after="100"/>
        <w:jc w:val="left"/>
        <w:rPr>
          <w:rFonts w:ascii="Arial" w:cs="Arial" w:eastAsia="Arial" w:hAnsi="Arial"/>
          <w:sz w:val="24"/>
          <w:szCs w:val="24"/>
        </w:rPr>
      </w:pPr>
      <w:r>
        <w:t xml:space="preserve">Dr. James Kessler represents the epitome of the ARCH Venture Partners ethos: a scientist-turned-investor who brings deep domain expertise in neuroscience and translational medicine to every investment decision. With 15 years of experience bridging academic research and venture capital, Kessler embodies ARCH's founding principle that transformative value creation emerges from taking calculated science risks rather than chasing market trends. His approach is deliberately contrarian—eschewing consensus narratives in favor of identifying breakthrough science that the broader biotech establishment has overlooked or underestimated. At ARCH, Kessler is part of a lean, high-conviction partnership of 14 partners managing nearly $12 billion in assets, where the "swing for the fences" mentality established by co-founder Bob Nelsen drives investment strategy across 150+ portfolio companies.</w:t>
      </w:r>
    </w:p>
    <w:p>
      <w:pPr>
        <w:pStyle w:val="ListParagraph"/>
        <w:numPr>
          <w:ilvl w:val="0"/>
          <w:numId w:val="1"/>
        </w:numPr>
        <w:spacing w:after="80"/>
        <w:rPr>
          <w:rFonts w:ascii="Arial" w:cs="Arial" w:eastAsia="Arial" w:hAnsi="Arial"/>
          <w:sz w:val="24"/>
          <w:szCs w:val="24"/>
        </w:rPr>
      </w:pPr>
      <w:r>
        <w:t xml:space="preserve">Believes breakthrough innovation requires betting on science others dismiss as too risky or scientifically unproven</w:t>
      </w:r>
    </w:p>
    <w:p>
      <w:pPr>
        <w:pStyle w:val="ListParagraph"/>
        <w:numPr>
          <w:ilvl w:val="0"/>
          <w:numId w:val="1"/>
        </w:numPr>
        <w:spacing w:after="80"/>
        <w:rPr>
          <w:rFonts w:ascii="Arial" w:cs="Arial" w:eastAsia="Arial" w:hAnsi="Arial"/>
          <w:sz w:val="24"/>
          <w:szCs w:val="24"/>
        </w:rPr>
      </w:pPr>
      <w:r>
        <w:t xml:space="preserve">Views himself as a steward of cutting-edge neuroscience research, translating academic discovery into commercial reality</w:t>
      </w:r>
    </w:p>
    <w:p>
      <w:pPr>
        <w:pStyle w:val="ListParagraph"/>
        <w:numPr>
          <w:ilvl w:val="0"/>
          <w:numId w:val="1"/>
        </w:numPr>
        <w:spacing w:after="80"/>
        <w:rPr>
          <w:rFonts w:ascii="Arial" w:cs="Arial" w:eastAsia="Arial" w:hAnsi="Arial"/>
          <w:sz w:val="24"/>
          <w:szCs w:val="24"/>
        </w:rPr>
      </w:pPr>
      <w:r>
        <w:t xml:space="preserve">Deeply values the ARCH company-builder model: co-founding ventures from university research at the concept stage, before traditional VC entry points</w:t>
      </w:r>
    </w:p>
    <w:p>
      <w:pPr>
        <w:pStyle w:val="ListParagraph"/>
        <w:numPr>
          <w:ilvl w:val="0"/>
          <w:numId w:val="1"/>
        </w:numPr>
        <w:spacing w:after="80"/>
        <w:rPr>
          <w:rFonts w:ascii="Arial" w:cs="Arial" w:eastAsia="Arial" w:hAnsi="Arial"/>
          <w:sz w:val="24"/>
          <w:szCs w:val="24"/>
        </w:rPr>
      </w:pPr>
      <w:r>
        <w:t xml:space="preserve">Operates within ARCH's 38-year track record: 43 IPOs, 75 acquisitions, 150+ companies created from foundational science</w:t>
      </w:r>
    </w:p>
    <w:p>
      <w:pPr>
        <w:pStyle w:val="ListParagraph"/>
        <w:numPr>
          <w:ilvl w:val="0"/>
          <w:numId w:val="1"/>
        </w:numPr>
        <w:spacing w:after="80"/>
        <w:rPr>
          <w:rFonts w:ascii="Arial" w:cs="Arial" w:eastAsia="Arial" w:hAnsi="Arial"/>
          <w:sz w:val="24"/>
          <w:szCs w:val="24"/>
        </w:rPr>
      </w:pPr>
      <w:r>
        <w:t xml:space="preserve">Holds the conviction that the most valuable platforms are those built from first principles, not derivative applications</w:t>
      </w:r>
    </w:p>
    <w:p>
      <w:pPr>
        <w:pStyle w:val="ListParagraph"/>
        <w:numPr>
          <w:ilvl w:val="0"/>
          <w:numId w:val="1"/>
        </w:numPr>
        <w:spacing w:after="80"/>
        <w:rPr>
          <w:rFonts w:ascii="Arial" w:cs="Arial" w:eastAsia="Arial" w:hAnsi="Arial"/>
          <w:sz w:val="24"/>
          <w:szCs w:val="24"/>
        </w:rPr>
      </w:pPr>
      <w:r>
        <w:t xml:space="preserve">Rejects the notion that venture capital should follow pharma's consensus on what is and isn't investable</w:t>
      </w:r>
    </w:p>
    <w:p>
      <w:pPr>
        <w:spacing w:before="200" w:after="100"/>
        <w:rPr>
          <w:rFonts w:ascii="Arial" w:cs="Arial" w:eastAsia="Arial" w:hAnsi="Arial"/>
          <w:b/>
          <w:bCs/>
          <w:sz w:val="26"/>
          <w:szCs w:val="26"/>
        </w:rPr>
      </w:pPr>
      <w:r>
        <w:t xml:space="preserve">Alignment with Firm Philosophy</w:t>
      </w:r>
    </w:p>
    <w:p>
      <w:pPr>
        <w:spacing w:after="100"/>
        <w:jc w:val="left"/>
        <w:rPr>
          <w:rFonts w:ascii="Arial" w:cs="Arial" w:eastAsia="Arial" w:hAnsi="Arial"/>
          <w:sz w:val="24"/>
          <w:szCs w:val="24"/>
        </w:rPr>
      </w:pPr>
      <w:r>
        <w:t xml:space="preserve">Kessler is the living embodiment of ARCH's core investment thesis: "We take science risk, not market risk." This statement encapsulates ARCH's willingness to fund ventures based on the robustness of underlying science rather than addressable market size or near-term commercial viability. Kessler has internalized this philosophy throughout his career, leading investments in three of ARCH's marquee neuroscience exits and follow-on platforms. He understands that ARCH's competitive advantage lies not in having the largest fund or the most capital, but in the firm's ability to recognize scientific potential before it becomes obvious to the broader venture and pharma communities. The Fund XIII raise of $3 billion in 2024, explicitly focused on "next generation AI-focused biotechs," reflects Kessler's influence in shaping ARCH's evolution—particularly around the integration of machine learning into drug discovery and development. Kessler is also a staunch believer in ARCH's platform-first investment approach, which prioritizes technologies and tools with multiple applications over single-indication companies.</w:t>
      </w:r>
    </w:p>
    <w:p>
      <w:pPr>
        <w:pStyle w:val="ListParagraph"/>
        <w:numPr>
          <w:ilvl w:val="0"/>
          <w:numId w:val="1"/>
        </w:numPr>
        <w:spacing w:after="80"/>
        <w:rPr>
          <w:rFonts w:ascii="Arial" w:cs="Arial" w:eastAsia="Arial" w:hAnsi="Arial"/>
          <w:sz w:val="24"/>
          <w:szCs w:val="24"/>
        </w:rPr>
      </w:pPr>
      <w:r>
        <w:t xml:space="preserve">Fundamentally committed to funding science-first ventures, not market-driven company building</w:t>
      </w:r>
    </w:p>
    <w:p>
      <w:pPr>
        <w:pStyle w:val="ListParagraph"/>
        <w:numPr>
          <w:ilvl w:val="0"/>
          <w:numId w:val="1"/>
        </w:numPr>
        <w:spacing w:after="80"/>
        <w:rPr>
          <w:rFonts w:ascii="Arial" w:cs="Arial" w:eastAsia="Arial" w:hAnsi="Arial"/>
          <w:sz w:val="24"/>
          <w:szCs w:val="24"/>
        </w:rPr>
      </w:pPr>
      <w:r>
        <w:t xml:space="preserve">Appreciates ARCH's independence from pharma consensus and willingness to fund "contrarian" science bets</w:t>
      </w:r>
    </w:p>
    <w:p>
      <w:pPr>
        <w:pStyle w:val="ListParagraph"/>
        <w:numPr>
          <w:ilvl w:val="0"/>
          <w:numId w:val="1"/>
        </w:numPr>
        <w:spacing w:after="80"/>
        <w:rPr>
          <w:rFonts w:ascii="Arial" w:cs="Arial" w:eastAsia="Arial" w:hAnsi="Arial"/>
          <w:sz w:val="24"/>
          <w:szCs w:val="24"/>
        </w:rPr>
      </w:pPr>
      <w:r>
        <w:t xml:space="preserve">Actively shaped Fund XIII's AI-biotech thesis, believing that machine learning is fundamentally transforming drug discovery</w:t>
      </w:r>
    </w:p>
    <w:p>
      <w:pPr>
        <w:pStyle w:val="ListParagraph"/>
        <w:numPr>
          <w:ilvl w:val="0"/>
          <w:numId w:val="1"/>
        </w:numPr>
        <w:spacing w:after="80"/>
        <w:rPr>
          <w:rFonts w:ascii="Arial" w:cs="Arial" w:eastAsia="Arial" w:hAnsi="Arial"/>
          <w:sz w:val="24"/>
          <w:szCs w:val="24"/>
        </w:rPr>
      </w:pPr>
      <w:r>
        <w:t xml:space="preserve">Advocates strongly for platform investments: Illumina (founding), Xaira ($1B Series A, AI drug discovery), and emerging neuro-specific platforms represent the ARCH model at scale</w:t>
      </w:r>
    </w:p>
    <w:p>
      <w:pPr>
        <w:pStyle w:val="ListParagraph"/>
        <w:numPr>
          <w:ilvl w:val="0"/>
          <w:numId w:val="1"/>
        </w:numPr>
        <w:spacing w:after="80"/>
        <w:rPr>
          <w:rFonts w:ascii="Arial" w:cs="Arial" w:eastAsia="Arial" w:hAnsi="Arial"/>
          <w:sz w:val="24"/>
          <w:szCs w:val="24"/>
        </w:rPr>
      </w:pPr>
      <w:r>
        <w:t xml:space="preserve">Views co-founding model as essential: deep engagement with founding scientists and academic institutions from day one</w:t>
      </w:r>
    </w:p>
    <w:p>
      <w:pPr>
        <w:pStyle w:val="ListParagraph"/>
        <w:numPr>
          <w:ilvl w:val="0"/>
          <w:numId w:val="1"/>
        </w:numPr>
        <w:spacing w:after="80"/>
        <w:rPr>
          <w:rFonts w:ascii="Arial" w:cs="Arial" w:eastAsia="Arial" w:hAnsi="Arial"/>
          <w:sz w:val="24"/>
          <w:szCs w:val="24"/>
        </w:rPr>
      </w:pPr>
      <w:r>
        <w:t xml:space="preserve">Proud of ARCH's portfolio depth in neuroscience: Neumora (post-Series B, $500M+ valuation, Amgen partnership), SciNeuro ($100M Series B), Aspen Neuroscience ($115M Series C)</w:t>
      </w:r>
    </w:p>
    <w:p>
      <w:pPr>
        <w:pStyle w:val="ListParagraph"/>
        <w:numPr>
          <w:ilvl w:val="0"/>
          <w:numId w:val="1"/>
        </w:numPr>
        <w:spacing w:after="80"/>
        <w:rPr>
          <w:rFonts w:ascii="Arial" w:cs="Arial" w:eastAsia="Arial" w:hAnsi="Arial"/>
          <w:sz w:val="24"/>
          <w:szCs w:val="24"/>
        </w:rPr>
      </w:pPr>
      <w:r>
        <w:t xml:space="preserve">Operates within a lean partnership structure (14 partners, 23 Venture Partners, 7 Principals) where conviction and scientific expertise drive decisions</w:t>
      </w:r>
    </w:p>
    <w:p>
      <w:pPr>
        <w:spacing w:before="200" w:after="100"/>
        <w:rPr>
          <w:rFonts w:ascii="Arial" w:cs="Arial" w:eastAsia="Arial" w:hAnsi="Arial"/>
          <w:b/>
          <w:bCs/>
          <w:sz w:val="26"/>
          <w:szCs w:val="26"/>
        </w:rPr>
      </w:pPr>
      <w:r>
        <w:t xml:space="preserve">Professional Background</w:t>
      </w:r>
    </w:p>
    <w:p>
      <w:pPr>
        <w:spacing w:after="100"/>
        <w:jc w:val="left"/>
        <w:rPr>
          <w:rFonts w:ascii="Arial" w:cs="Arial" w:eastAsia="Arial" w:hAnsi="Arial"/>
          <w:sz w:val="24"/>
          <w:szCs w:val="24"/>
        </w:rPr>
      </w:pPr>
      <w:r>
        <w:t xml:space="preserve">Dr. Kessler brings a rare combination of clinical medicine, neuroscience research, and venture capital expertise. He completed his medical degree and PhD in neurobiology at Stanford, where his research focused on synaptic plasticity and neurodegeneration. After clinical training in neurology at Massachusetts General Hospital, he spent eight years as a faculty researcher at MIT, publishing 40+ peer-reviewed papers on neural circuits and translational mechanisms in Alzheimer's disease and Parkinson's disease. Kessler's transition into venture capital was not accidental—he became increasingly convinced that the pace of institutional science was too slow to capture emerging opportunities in neurotechnology and AI-enabled drug discovery. He joined ARCH eight years ago as a Venture Partner, after being impressed by ARCH's portfolio company investments in Neumora and early-stage neuro platforms. Within five years, his track record identifying breakthrough science led to elevation to Managing Director. His current portfolio includes early-stage investments in novel neurogenesis approaches, connectomics-based drug discovery platforms, and AI-first CNS drug development. Kessler maintains research advisory roles at Stanford and MIT, keeping him connected to cutting-edge academic neuroscience.</w:t>
      </w:r>
    </w:p>
    <w:p>
      <w:pPr>
        <w:pStyle w:val="ListParagraph"/>
        <w:numPr>
          <w:ilvl w:val="0"/>
          <w:numId w:val="1"/>
        </w:numPr>
        <w:spacing w:after="80"/>
        <w:rPr>
          <w:rFonts w:ascii="Arial" w:cs="Arial" w:eastAsia="Arial" w:hAnsi="Arial"/>
          <w:sz w:val="24"/>
          <w:szCs w:val="24"/>
        </w:rPr>
      </w:pPr>
      <w:r>
        <w:t xml:space="preserve">MD and PhD in Neurobiology from Stanford University</w:t>
      </w:r>
    </w:p>
    <w:p>
      <w:pPr>
        <w:pStyle w:val="ListParagraph"/>
        <w:numPr>
          <w:ilvl w:val="0"/>
          <w:numId w:val="1"/>
        </w:numPr>
        <w:spacing w:after="80"/>
        <w:rPr>
          <w:rFonts w:ascii="Arial" w:cs="Arial" w:eastAsia="Arial" w:hAnsi="Arial"/>
          <w:sz w:val="24"/>
          <w:szCs w:val="24"/>
        </w:rPr>
      </w:pPr>
      <w:r>
        <w:t xml:space="preserve">Completed neurology training at Massachusetts General Hospital</w:t>
      </w:r>
    </w:p>
    <w:p>
      <w:pPr>
        <w:pStyle w:val="ListParagraph"/>
        <w:numPr>
          <w:ilvl w:val="0"/>
          <w:numId w:val="1"/>
        </w:numPr>
        <w:spacing w:after="80"/>
        <w:rPr>
          <w:rFonts w:ascii="Arial" w:cs="Arial" w:eastAsia="Arial" w:hAnsi="Arial"/>
          <w:sz w:val="24"/>
          <w:szCs w:val="24"/>
        </w:rPr>
      </w:pPr>
      <w:r>
        <w:t xml:space="preserve">8 years as faculty researcher at MIT; 40+ peer-reviewed publications in top-tier journals (Nature, Cell, PNAS)</w:t>
      </w:r>
    </w:p>
    <w:p>
      <w:pPr>
        <w:pStyle w:val="ListParagraph"/>
        <w:numPr>
          <w:ilvl w:val="0"/>
          <w:numId w:val="1"/>
        </w:numPr>
        <w:spacing w:after="80"/>
        <w:rPr>
          <w:rFonts w:ascii="Arial" w:cs="Arial" w:eastAsia="Arial" w:hAnsi="Arial"/>
          <w:sz w:val="24"/>
          <w:szCs w:val="24"/>
        </w:rPr>
      </w:pPr>
      <w:r>
        <w:t xml:space="preserve">Deep expertise in neurodegeneration biology, synaptic plasticity, and translational neuroscience</w:t>
      </w:r>
    </w:p>
    <w:p>
      <w:pPr>
        <w:pStyle w:val="ListParagraph"/>
        <w:numPr>
          <w:ilvl w:val="0"/>
          <w:numId w:val="1"/>
        </w:numPr>
        <w:spacing w:after="80"/>
        <w:rPr>
          <w:rFonts w:ascii="Arial" w:cs="Arial" w:eastAsia="Arial" w:hAnsi="Arial"/>
          <w:sz w:val="24"/>
          <w:szCs w:val="24"/>
        </w:rPr>
      </w:pPr>
      <w:r>
        <w:t xml:space="preserve">8 years at ARCH Venture Partners; 5 years as Managing Director</w:t>
      </w:r>
    </w:p>
    <w:p>
      <w:pPr>
        <w:pStyle w:val="ListParagraph"/>
        <w:numPr>
          <w:ilvl w:val="0"/>
          <w:numId w:val="1"/>
        </w:numPr>
        <w:spacing w:after="80"/>
        <w:rPr>
          <w:rFonts w:ascii="Arial" w:cs="Arial" w:eastAsia="Arial" w:hAnsi="Arial"/>
          <w:sz w:val="24"/>
          <w:szCs w:val="24"/>
        </w:rPr>
      </w:pPr>
      <w:r>
        <w:t xml:space="preserve">Research advisory roles at Stanford and MIT, maintaining active connections to academic discovery</w:t>
      </w:r>
    </w:p>
    <w:p>
      <w:pPr>
        <w:pStyle w:val="ListParagraph"/>
        <w:numPr>
          <w:ilvl w:val="0"/>
          <w:numId w:val="1"/>
        </w:numPr>
        <w:spacing w:after="80"/>
        <w:rPr>
          <w:rFonts w:ascii="Arial" w:cs="Arial" w:eastAsia="Arial" w:hAnsi="Arial"/>
          <w:sz w:val="24"/>
          <w:szCs w:val="24"/>
        </w:rPr>
      </w:pPr>
      <w:r>
        <w:t xml:space="preserve">Identified early-stage opportunities in Neumora, SciNeuro, and Aspen Neuroscience; all now mature portfolio companies</w:t>
      </w:r>
    </w:p>
    <w:p>
      <w:pPr>
        <w:spacing w:before="200" w:after="100"/>
        <w:rPr>
          <w:rFonts w:ascii="Arial" w:cs="Arial" w:eastAsia="Arial" w:hAnsi="Arial"/>
          <w:b/>
          <w:bCs/>
          <w:sz w:val="26"/>
          <w:szCs w:val="26"/>
        </w:rPr>
      </w:pPr>
      <w:r>
        <w:t xml:space="preserve">Strategic Investment Priorities</w:t>
      </w:r>
    </w:p>
    <w:p>
      <w:pPr>
        <w:spacing w:after="100"/>
        <w:jc w:val="left"/>
        <w:rPr>
          <w:rFonts w:ascii="Arial" w:cs="Arial" w:eastAsia="Arial" w:hAnsi="Arial"/>
          <w:sz w:val="24"/>
          <w:szCs w:val="24"/>
        </w:rPr>
      </w:pPr>
      <w:r>
        <w:t xml:space="preserve">Kessler's investment thesis is deeply shaped by his belief that neuroscience is entering a golden era of innovation driven by three convergent trends: (1) AI-enabled drug discovery reducing development timelines and failure rates, (2) advances in understanding neural circuits through connectomics and multiomics, and (3) novel therapeutic modalities (gene therapy, cell therapy, neuromodulation) that were previously inaccessible. His current priority is identifying platform companies that leverage these trends to create durable competitive advantages. Unlike traditional VC investors focused on first-indication approvals, Kessler thinks about "second and third-order" applications of a platform—how a discovery tool built for Alzheimer's could address Parkinson's, or how a biomarker platform could be applied across 10+ neurodegenerative diseases. He is intensely focused on companies co-founded with or directly emerging from academic research, believing that the best neuro platforms are built by scientists who deeply understand the biology. Kessler actively deploys capital from Fund XIII toward AI-focused neuro biotech startups, but with the caveat that AI must be solving a real scientific bottleneck, not simply replacing human scientists.</w:t>
      </w:r>
    </w:p>
    <w:p>
      <w:pPr>
        <w:pStyle w:val="ListParagraph"/>
        <w:numPr>
          <w:ilvl w:val="0"/>
          <w:numId w:val="1"/>
        </w:numPr>
        <w:spacing w:after="80"/>
        <w:rPr>
          <w:rFonts w:ascii="Arial" w:cs="Arial" w:eastAsia="Arial" w:hAnsi="Arial"/>
          <w:sz w:val="24"/>
          <w:szCs w:val="24"/>
        </w:rPr>
      </w:pPr>
      <w:r>
        <w:t xml:space="preserve">AI-first drug discovery platforms in neuroscience: companies using machine learning to predict drug-target interactions, mechanism of action, or neural circuit engagement</w:t>
      </w:r>
    </w:p>
    <w:p>
      <w:pPr>
        <w:pStyle w:val="ListParagraph"/>
        <w:numPr>
          <w:ilvl w:val="0"/>
          <w:numId w:val="1"/>
        </w:numPr>
        <w:spacing w:after="80"/>
        <w:rPr>
          <w:rFonts w:ascii="Arial" w:cs="Arial" w:eastAsia="Arial" w:hAnsi="Arial"/>
          <w:sz w:val="24"/>
          <w:szCs w:val="24"/>
        </w:rPr>
      </w:pPr>
      <w:r>
        <w:t xml:space="preserve">Platform companies with 5+ application pathways: prioritizes reusable tools over single-indication therapies</w:t>
      </w:r>
    </w:p>
    <w:p>
      <w:pPr>
        <w:pStyle w:val="ListParagraph"/>
        <w:numPr>
          <w:ilvl w:val="0"/>
          <w:numId w:val="1"/>
        </w:numPr>
        <w:spacing w:after="80"/>
        <w:rPr>
          <w:rFonts w:ascii="Arial" w:cs="Arial" w:eastAsia="Arial" w:hAnsi="Arial"/>
          <w:sz w:val="24"/>
          <w:szCs w:val="24"/>
        </w:rPr>
      </w:pPr>
      <w:r>
        <w:t xml:space="preserve">Biomarker and diagnostic platforms enabling patient stratification and early detection in neurodegenerative disease</w:t>
      </w:r>
    </w:p>
    <w:p>
      <w:pPr>
        <w:pStyle w:val="ListParagraph"/>
        <w:numPr>
          <w:ilvl w:val="0"/>
          <w:numId w:val="1"/>
        </w:numPr>
        <w:spacing w:after="80"/>
        <w:rPr>
          <w:rFonts w:ascii="Arial" w:cs="Arial" w:eastAsia="Arial" w:hAnsi="Arial"/>
          <w:sz w:val="24"/>
          <w:szCs w:val="24"/>
        </w:rPr>
      </w:pPr>
      <w:r>
        <w:t xml:space="preserve">Novel modalities: gene therapy, cell therapy, and neuromodulation approaches to CNS disease</w:t>
      </w:r>
    </w:p>
    <w:p>
      <w:pPr>
        <w:pStyle w:val="ListParagraph"/>
        <w:numPr>
          <w:ilvl w:val="0"/>
          <w:numId w:val="1"/>
        </w:numPr>
        <w:spacing w:after="80"/>
        <w:rPr>
          <w:rFonts w:ascii="Arial" w:cs="Arial" w:eastAsia="Arial" w:hAnsi="Arial"/>
          <w:sz w:val="24"/>
          <w:szCs w:val="24"/>
        </w:rPr>
      </w:pPr>
      <w:r>
        <w:t xml:space="preserve">Academic co-founding model: early engagement with university labs and faculty researchers</w:t>
      </w:r>
    </w:p>
    <w:p>
      <w:pPr>
        <w:pStyle w:val="ListParagraph"/>
        <w:numPr>
          <w:ilvl w:val="0"/>
          <w:numId w:val="1"/>
        </w:numPr>
        <w:spacing w:after="80"/>
        <w:rPr>
          <w:rFonts w:ascii="Arial" w:cs="Arial" w:eastAsia="Arial" w:hAnsi="Arial"/>
          <w:sz w:val="24"/>
          <w:szCs w:val="24"/>
        </w:rPr>
      </w:pPr>
      <w:r>
        <w:t xml:space="preserve">Companies addressing large patient populations with high unmet need and no approved therapeutics</w:t>
      </w:r>
    </w:p>
    <w:p>
      <w:pPr>
        <w:pStyle w:val="ListParagraph"/>
        <w:numPr>
          <w:ilvl w:val="0"/>
          <w:numId w:val="1"/>
        </w:numPr>
        <w:spacing w:after="80"/>
        <w:rPr>
          <w:rFonts w:ascii="Arial" w:cs="Arial" w:eastAsia="Arial" w:hAnsi="Arial"/>
          <w:sz w:val="24"/>
          <w:szCs w:val="24"/>
        </w:rPr>
      </w:pPr>
      <w:r>
        <w:t xml:space="preserve">Connectomics, multiomics, and single-cell biology platforms enabling deeper understanding of neural circuits</w:t>
      </w:r>
    </w:p>
    <w:p>
      <w:pPr>
        <w:spacing w:before="200" w:after="100"/>
        <w:rPr>
          <w:rFonts w:ascii="Arial" w:cs="Arial" w:eastAsia="Arial" w:hAnsi="Arial"/>
          <w:b/>
          <w:bCs/>
          <w:sz w:val="26"/>
          <w:szCs w:val="26"/>
        </w:rPr>
      </w:pPr>
      <w:r>
        <w:t xml:space="preserve">Decision-Making Framework</w:t>
      </w:r>
    </w:p>
    <w:p>
      <w:pPr>
        <w:spacing w:after="100"/>
        <w:jc w:val="left"/>
        <w:rPr>
          <w:rFonts w:ascii="Arial" w:cs="Arial" w:eastAsia="Arial" w:hAnsi="Arial"/>
          <w:sz w:val="24"/>
          <w:szCs w:val="24"/>
        </w:rPr>
      </w:pPr>
      <w:r>
        <w:t xml:space="preserve">Kessler's investment decisions are rooted in a rigorous scientific and strategic framework honed by 15 years of translational research and 8 years in venture. He begins every evaluation with deep scientific diligence: reading foundational papers, engaging with founding scientists, and independently assessing whether the underlying biology is sound and novel. Unlike many VCs who outsource scientific evaluation to external advisors, Kessler conducts personal due diligence on the core science. He then evaluates the founding team's ability to translate that science into a scalable company—assessing founder-scientist commitment, CEO experience, and willingness to recruit world-class talent. Market timing is secondary to scientific robustness; if the science is strong but the market isn't ready, Kessler will invest for the long haul. He explicitly resists being swayed by near-term clinical trial results or FDA decisions if the underlying platform logic is intact. His decision-making is also informed by ARCH's "swing for the fences" philosophy: he allocates capital toward ventures with transformational upside (10x+ portfolio returns) rather than steady-state returns. This means accepting higher failure rates in exchange for outsized winners. Within ARCH's partner meetings, Kessler is known for asking deep, probing questions about scientific assumptions—and his conviction on neuroscience investments carries significant weight in final funding decisions.</w:t>
      </w:r>
    </w:p>
    <w:p>
      <w:pPr>
        <w:pStyle w:val="ListParagraph"/>
        <w:numPr>
          <w:ilvl w:val="0"/>
          <w:numId w:val="1"/>
        </w:numPr>
        <w:spacing w:after="80"/>
        <w:rPr>
          <w:rFonts w:ascii="Arial" w:cs="Arial" w:eastAsia="Arial" w:hAnsi="Arial"/>
          <w:sz w:val="24"/>
          <w:szCs w:val="24"/>
        </w:rPr>
      </w:pPr>
      <w:r>
        <w:t xml:space="preserve">Conducts independent scientific diligence: reads foundational literature, engages directly with founders on mechanism of action</w:t>
      </w:r>
    </w:p>
    <w:p>
      <w:pPr>
        <w:pStyle w:val="ListParagraph"/>
        <w:numPr>
          <w:ilvl w:val="0"/>
          <w:numId w:val="1"/>
        </w:numPr>
        <w:spacing w:after="80"/>
        <w:rPr>
          <w:rFonts w:ascii="Arial" w:cs="Arial" w:eastAsia="Arial" w:hAnsi="Arial"/>
          <w:sz w:val="24"/>
          <w:szCs w:val="24"/>
        </w:rPr>
      </w:pPr>
      <w:r>
        <w:t xml:space="preserve">Evaluates founding team: scientific credibility of co-founders, CEO experience, ability to recruit talent</w:t>
      </w:r>
    </w:p>
    <w:p>
      <w:pPr>
        <w:pStyle w:val="ListParagraph"/>
        <w:numPr>
          <w:ilvl w:val="0"/>
          <w:numId w:val="1"/>
        </w:numPr>
        <w:spacing w:after="80"/>
        <w:rPr>
          <w:rFonts w:ascii="Arial" w:cs="Arial" w:eastAsia="Arial" w:hAnsi="Arial"/>
          <w:sz w:val="24"/>
          <w:szCs w:val="24"/>
        </w:rPr>
      </w:pPr>
      <w:r>
        <w:t xml:space="preserve">Prioritizes platform potential over single-indication pathway: "What can this technology do 5 years from now?"</w:t>
      </w:r>
    </w:p>
    <w:p>
      <w:pPr>
        <w:pStyle w:val="ListParagraph"/>
        <w:numPr>
          <w:ilvl w:val="0"/>
          <w:numId w:val="1"/>
        </w:numPr>
        <w:spacing w:after="80"/>
        <w:rPr>
          <w:rFonts w:ascii="Arial" w:cs="Arial" w:eastAsia="Arial" w:hAnsi="Arial"/>
          <w:sz w:val="24"/>
          <w:szCs w:val="24"/>
        </w:rPr>
      </w:pPr>
      <w:r>
        <w:t xml:space="preserve">Views near-term clinical setbacks as secondary to long-term platform robustness</w:t>
      </w:r>
    </w:p>
    <w:p>
      <w:pPr>
        <w:pStyle w:val="ListParagraph"/>
        <w:numPr>
          <w:ilvl w:val="0"/>
          <w:numId w:val="1"/>
        </w:numPr>
        <w:spacing w:after="80"/>
        <w:rPr>
          <w:rFonts w:ascii="Arial" w:cs="Arial" w:eastAsia="Arial" w:hAnsi="Arial"/>
          <w:sz w:val="24"/>
          <w:szCs w:val="24"/>
        </w:rPr>
      </w:pPr>
      <w:r>
        <w:t xml:space="preserve">Targets ventures with 10x+ return potential; accepts higher failure rates for outsized winners</w:t>
      </w:r>
    </w:p>
    <w:p>
      <w:pPr>
        <w:pStyle w:val="ListParagraph"/>
        <w:numPr>
          <w:ilvl w:val="0"/>
          <w:numId w:val="1"/>
        </w:numPr>
        <w:spacing w:after="80"/>
        <w:rPr>
          <w:rFonts w:ascii="Arial" w:cs="Arial" w:eastAsia="Arial" w:hAnsi="Arial"/>
          <w:sz w:val="24"/>
          <w:szCs w:val="24"/>
        </w:rPr>
      </w:pPr>
      <w:r>
        <w:t xml:space="preserve">Evaluates competitive landscape: what is defensible? What scientific IP exists? How easy is it to replicate?</w:t>
      </w:r>
    </w:p>
    <w:p>
      <w:pPr>
        <w:pStyle w:val="ListParagraph"/>
        <w:numPr>
          <w:ilvl w:val="0"/>
          <w:numId w:val="1"/>
        </w:numPr>
        <w:spacing w:after="80"/>
        <w:rPr>
          <w:rFonts w:ascii="Arial" w:cs="Arial" w:eastAsia="Arial" w:hAnsi="Arial"/>
          <w:sz w:val="24"/>
          <w:szCs w:val="24"/>
        </w:rPr>
      </w:pPr>
      <w:r>
        <w:t xml:space="preserve">Partners with founders for the long haul: views ARCH's board seats as deep engagement roles, not passive investments</w:t>
      </w:r>
    </w:p>
    <w:p>
      <w:pPr>
        <w:spacing w:before="200" w:after="100"/>
        <w:rPr>
          <w:rFonts w:ascii="Arial" w:cs="Arial" w:eastAsia="Arial" w:hAnsi="Arial"/>
          <w:b/>
          <w:bCs/>
          <w:sz w:val="26"/>
          <w:szCs w:val="26"/>
        </w:rPr>
      </w:pPr>
      <w:r>
        <w:t xml:space="preserve">View on AI &amp; Platforms</w:t>
      </w:r>
    </w:p>
    <w:p>
      <w:pPr>
        <w:spacing w:after="100"/>
        <w:jc w:val="left"/>
        <w:rPr>
          <w:rFonts w:ascii="Arial" w:cs="Arial" w:eastAsia="Arial" w:hAnsi="Arial"/>
          <w:sz w:val="24"/>
          <w:szCs w:val="24"/>
        </w:rPr>
      </w:pPr>
      <w:r>
        <w:t xml:space="preserve">Kessler views artificial intelligence and machine learning as the most significant paradigm shift in drug discovery since high-throughput screening. However, he is deliberately selective about AI applications in biotech. He is deeply bullish on AI for narrowly-defined, data-rich problems: protein folding prediction (like AlphaFold), drug-target binding affinity, molecular property prediction, and patient stratification based on multiomics data. He is conversely skeptical of AI applied to problems where data is sparse or where human intuition and biological insight remain irreplaceable—such as early-stage mechanism-of-action discovery or novel target identification. Kessler's investment in Xaira (a $1B Series A AI drug discovery platform) reflects his conviction that AI can dramatically compress drug discovery timelines and reduce attrition. He views platform companies like Xaira as more valuable than individual AI-enabled drug programs because the underlying AI infrastructure can be applied across dozens of therapeutic areas. Kessler is also bullish on AI for neuromodulation: using machine learning to optimize stimulation parameters in deep brain stimulation, closed-loop neurotechnology, and brain-computer interfaces. His Fund XIII deployment includes several early-stage AI-neuro companies, but he emphasizes that "AI for AI's sake" is a trap. The technology must solve a real scientific bottleneck and create durable competitive advantage.</w:t>
      </w:r>
    </w:p>
    <w:p>
      <w:pPr>
        <w:pStyle w:val="ListParagraph"/>
        <w:numPr>
          <w:ilvl w:val="0"/>
          <w:numId w:val="1"/>
        </w:numPr>
        <w:spacing w:after="80"/>
        <w:rPr>
          <w:rFonts w:ascii="Arial" w:cs="Arial" w:eastAsia="Arial" w:hAnsi="Arial"/>
          <w:sz w:val="24"/>
          <w:szCs w:val="24"/>
        </w:rPr>
      </w:pPr>
      <w:r>
        <w:t xml:space="preserve">Bullish on AI for data-rich, well-defined problems: protein folding, binding affinity, molecular properties, patient stratification</w:t>
      </w:r>
    </w:p>
    <w:p>
      <w:pPr>
        <w:pStyle w:val="ListParagraph"/>
        <w:numPr>
          <w:ilvl w:val="0"/>
          <w:numId w:val="1"/>
        </w:numPr>
        <w:spacing w:after="80"/>
        <w:rPr>
          <w:rFonts w:ascii="Arial" w:cs="Arial" w:eastAsia="Arial" w:hAnsi="Arial"/>
          <w:sz w:val="24"/>
          <w:szCs w:val="24"/>
        </w:rPr>
      </w:pPr>
      <w:r>
        <w:t xml:space="preserve">Skeptical of AI for early-stage discovery where data is sparse or human intuition is irreplaceable</w:t>
      </w:r>
    </w:p>
    <w:p>
      <w:pPr>
        <w:pStyle w:val="ListParagraph"/>
        <w:numPr>
          <w:ilvl w:val="0"/>
          <w:numId w:val="1"/>
        </w:numPr>
        <w:spacing w:after="80"/>
        <w:rPr>
          <w:rFonts w:ascii="Arial" w:cs="Arial" w:eastAsia="Arial" w:hAnsi="Arial"/>
          <w:sz w:val="24"/>
          <w:szCs w:val="24"/>
        </w:rPr>
      </w:pPr>
      <w:r>
        <w:t xml:space="preserve">Supports Xaira investment as exemplar: AI platform for drug discovery with 50+ application pathways across indications</w:t>
      </w:r>
    </w:p>
    <w:p>
      <w:pPr>
        <w:pStyle w:val="ListParagraph"/>
        <w:numPr>
          <w:ilvl w:val="0"/>
          <w:numId w:val="1"/>
        </w:numPr>
        <w:spacing w:after="80"/>
        <w:rPr>
          <w:rFonts w:ascii="Arial" w:cs="Arial" w:eastAsia="Arial" w:hAnsi="Arial"/>
          <w:sz w:val="24"/>
          <w:szCs w:val="24"/>
        </w:rPr>
      </w:pPr>
      <w:r>
        <w:t xml:space="preserve">Emphasizes platform-first approach: AI infrastructure deployed across therapeutic areas &gt; single AI-enabled drug programs</w:t>
      </w:r>
    </w:p>
    <w:p>
      <w:pPr>
        <w:pStyle w:val="ListParagraph"/>
        <w:numPr>
          <w:ilvl w:val="0"/>
          <w:numId w:val="1"/>
        </w:numPr>
        <w:spacing w:after="80"/>
        <w:rPr>
          <w:rFonts w:ascii="Arial" w:cs="Arial" w:eastAsia="Arial" w:hAnsi="Arial"/>
          <w:sz w:val="24"/>
          <w:szCs w:val="24"/>
        </w:rPr>
      </w:pPr>
      <w:r>
        <w:t xml:space="preserve">Interested in AI for neuromodulation: optimizing stimulation parameters, closed-loop systems, brain-computer interfaces</w:t>
      </w:r>
    </w:p>
    <w:p>
      <w:pPr>
        <w:pStyle w:val="ListParagraph"/>
        <w:numPr>
          <w:ilvl w:val="0"/>
          <w:numId w:val="1"/>
        </w:numPr>
        <w:spacing w:after="80"/>
        <w:rPr>
          <w:rFonts w:ascii="Arial" w:cs="Arial" w:eastAsia="Arial" w:hAnsi="Arial"/>
          <w:sz w:val="24"/>
          <w:szCs w:val="24"/>
        </w:rPr>
      </w:pPr>
      <w:r>
        <w:t xml:space="preserve">Rejects "AI for AI's sake" narrative: technology must address real bottleneck and build defensible competitive advantage</w:t>
      </w:r>
    </w:p>
    <w:p>
      <w:pPr>
        <w:pStyle w:val="ListParagraph"/>
        <w:numPr>
          <w:ilvl w:val="0"/>
          <w:numId w:val="1"/>
        </w:numPr>
        <w:spacing w:after="80"/>
        <w:rPr>
          <w:rFonts w:ascii="Arial" w:cs="Arial" w:eastAsia="Arial" w:hAnsi="Arial"/>
          <w:sz w:val="24"/>
          <w:szCs w:val="24"/>
        </w:rPr>
      </w:pPr>
      <w:r>
        <w:t xml:space="preserve">Views integration of AI + deep domain expertise (neuroscience, biomarkers, translational science) as highest-value combination</w:t>
      </w:r>
    </w:p>
    <w:p>
      <w:pPr>
        <w:spacing w:before="200" w:after="100"/>
        <w:rPr>
          <w:rFonts w:ascii="Arial" w:cs="Arial" w:eastAsia="Arial" w:hAnsi="Arial"/>
          <w:b/>
          <w:bCs/>
          <w:sz w:val="26"/>
          <w:szCs w:val="26"/>
        </w:rPr>
      </w:pPr>
      <w:r>
        <w:t xml:space="preserve">Pain Points &amp; Frustrations</w:t>
      </w:r>
    </w:p>
    <w:p>
      <w:pPr>
        <w:spacing w:after="100"/>
        <w:jc w:val="left"/>
        <w:rPr>
          <w:rFonts w:ascii="Arial" w:cs="Arial" w:eastAsia="Arial" w:hAnsi="Arial"/>
          <w:sz w:val="24"/>
          <w:szCs w:val="24"/>
        </w:rPr>
      </w:pPr>
      <w:r>
        <w:t xml:space="preserve">Despite ARCH's success and Kessler's influence in the firm, he faces several persistent frustrations in the current biotech landscape. The most acute is the mismatch between scientific potential and near-term market realities. Kessler identifies brilliant science that could be transformational—such as novel neurogenesis-based approaches to neurodegeneration—but watches the commercial market punish companies for longer development timelines or uncertain clinical paths. He is frustrated by the venture industry's growing short-termism: many VCs now demand 5-7 year exit timelines, which is incompatible with the 10-15 year development arc of serious neuroscience innovation. Another key frustration is founder quality in AI-biotech. Kessler sees many machine learning engineers and PhDs entering biotech with limited understanding of translational science, regulatory pathways, or the complexity of bringing a drug to market. He spends considerable effort educating and recruiting the right founding teams rather than simply writing checks. Regulatory unpredictability also frustrates him—especially around novel modalities (gene therapy, cell therapy) where FDA guidance is evolving. Finally, Kessler is disappointed by the pharma industry's continuing risk aversion toward truly novel mechanisms. Large pharma remains anchored to validated targets and known modalities, leaving breakthrough science poorly positioned for acquisition. This drives ARCH's patient-capital approach: companies like Illumina, Juno, and Xaira achieved scale within the ARCH ecosystem before pharma acquisition or IPO, not because pharma was eager to fund them early.</w:t>
      </w:r>
    </w:p>
    <w:p>
      <w:pPr>
        <w:pStyle w:val="ListParagraph"/>
        <w:numPr>
          <w:ilvl w:val="0"/>
          <w:numId w:val="1"/>
        </w:numPr>
        <w:spacing w:after="80"/>
        <w:rPr>
          <w:rFonts w:ascii="Arial" w:cs="Arial" w:eastAsia="Arial" w:hAnsi="Arial"/>
          <w:sz w:val="24"/>
          <w:szCs w:val="24"/>
        </w:rPr>
      </w:pPr>
      <w:r>
        <w:t xml:space="preserve">Mismatch between scientific potential and market valuation: brilliant science faces 5-10 year timelines that the venture market won't support</w:t>
      </w:r>
    </w:p>
    <w:p>
      <w:pPr>
        <w:pStyle w:val="ListParagraph"/>
        <w:numPr>
          <w:ilvl w:val="0"/>
          <w:numId w:val="1"/>
        </w:numPr>
        <w:spacing w:after="80"/>
        <w:rPr>
          <w:rFonts w:ascii="Arial" w:cs="Arial" w:eastAsia="Arial" w:hAnsi="Arial"/>
          <w:sz w:val="24"/>
          <w:szCs w:val="24"/>
        </w:rPr>
      </w:pPr>
      <w:r>
        <w:t xml:space="preserve">Venture industry's growing short-termism: pressure for 5-7 year exits incompatible with serious neuroscience development</w:t>
      </w:r>
    </w:p>
    <w:p>
      <w:pPr>
        <w:pStyle w:val="ListParagraph"/>
        <w:numPr>
          <w:ilvl w:val="0"/>
          <w:numId w:val="1"/>
        </w:numPr>
        <w:spacing w:after="80"/>
        <w:rPr>
          <w:rFonts w:ascii="Arial" w:cs="Arial" w:eastAsia="Arial" w:hAnsi="Arial"/>
          <w:sz w:val="24"/>
          <w:szCs w:val="24"/>
        </w:rPr>
      </w:pPr>
      <w:r>
        <w:t xml:space="preserve">AI-biotech founder quality: many ML engineers entering space lack translational science, regulatory, or commercial expertise</w:t>
      </w:r>
    </w:p>
    <w:p>
      <w:pPr>
        <w:pStyle w:val="ListParagraph"/>
        <w:numPr>
          <w:ilvl w:val="0"/>
          <w:numId w:val="1"/>
        </w:numPr>
        <w:spacing w:after="80"/>
        <w:rPr>
          <w:rFonts w:ascii="Arial" w:cs="Arial" w:eastAsia="Arial" w:hAnsi="Arial"/>
          <w:sz w:val="24"/>
          <w:szCs w:val="24"/>
        </w:rPr>
      </w:pPr>
      <w:r>
        <w:t xml:space="preserve">Regulatory unpredictability with novel modalities: gene therapy, cell therapy, neuromodulation still have unclear FDA paths</w:t>
      </w:r>
    </w:p>
    <w:p>
      <w:pPr>
        <w:pStyle w:val="ListParagraph"/>
        <w:numPr>
          <w:ilvl w:val="0"/>
          <w:numId w:val="1"/>
        </w:numPr>
        <w:spacing w:after="80"/>
        <w:rPr>
          <w:rFonts w:ascii="Arial" w:cs="Arial" w:eastAsia="Arial" w:hAnsi="Arial"/>
          <w:sz w:val="24"/>
          <w:szCs w:val="24"/>
        </w:rPr>
      </w:pPr>
      <w:r>
        <w:t xml:space="preserve">Pharma risk aversion: large pharmaceutical companies prefer safe, validated targets rather than funding truly novel mechanisms</w:t>
      </w:r>
    </w:p>
    <w:p>
      <w:pPr>
        <w:pStyle w:val="ListParagraph"/>
        <w:numPr>
          <w:ilvl w:val="0"/>
          <w:numId w:val="1"/>
        </w:numPr>
        <w:spacing w:after="80"/>
        <w:rPr>
          <w:rFonts w:ascii="Arial" w:cs="Arial" w:eastAsia="Arial" w:hAnsi="Arial"/>
          <w:sz w:val="24"/>
          <w:szCs w:val="24"/>
        </w:rPr>
      </w:pPr>
      <w:r>
        <w:t xml:space="preserve">Patient recruitment challenges in rare neurodegenerative diseases: clinical trial timelines extended by recruitment bottlenecks</w:t>
      </w:r>
    </w:p>
    <w:p>
      <w:pPr>
        <w:pStyle w:val="ListParagraph"/>
        <w:numPr>
          <w:ilvl w:val="0"/>
          <w:numId w:val="1"/>
        </w:numPr>
        <w:spacing w:after="80"/>
        <w:rPr>
          <w:rFonts w:ascii="Arial" w:cs="Arial" w:eastAsia="Arial" w:hAnsi="Arial"/>
          <w:sz w:val="24"/>
          <w:szCs w:val="24"/>
        </w:rPr>
      </w:pPr>
      <w:r>
        <w:t xml:space="preserve">Limited ability to de-risk early-stage science before venture funding: academic validation insufficient for market entry</w:t>
      </w:r>
    </w:p>
    <w:p>
      <w:pPr>
        <w:spacing w:before="200" w:after="100"/>
        <w:rPr>
          <w:rFonts w:ascii="Arial" w:cs="Arial" w:eastAsia="Arial" w:hAnsi="Arial"/>
          <w:b/>
          <w:bCs/>
          <w:sz w:val="26"/>
          <w:szCs w:val="26"/>
        </w:rPr>
      </w:pPr>
      <w:r>
        <w:t xml:space="preserve">What Gets Him Excited</w:t>
      </w:r>
    </w:p>
    <w:p>
      <w:pPr>
        <w:spacing w:after="100"/>
        <w:jc w:val="left"/>
        <w:rPr>
          <w:rFonts w:ascii="Arial" w:cs="Arial" w:eastAsia="Arial" w:hAnsi="Arial"/>
          <w:sz w:val="24"/>
          <w:szCs w:val="24"/>
        </w:rPr>
      </w:pPr>
      <w:r>
        <w:t xml:space="preserve">Despite the frustrations, Kessler is animated by moments of genuine scientific breakthrough. He lights up when discussing breakthrough discoveries that challenge dogma: papers on adult neurogenesis and neuroplasticity that overturn the old "the brain is fixed" narrative, emerging data on glial cells' role in neurodegeneration, or unexpected therapeutic applications of well-known molecules. He is particularly excited about convergences: the intersection of connectomics data + AI + novel modalities creates a moment where previously intractable neuro problems suddenly become solvable. ARCH's Fund XIII raised in 2024, with explicit focus on "next generation AI-focused biotechs," energized Kessler because it validated the thesis that AI and neuroscience are at an inflection point. He is also genuinely excited by founder stories: bringing together a world-leading neuroscientist from Stanford, a pharma veteran with regulatory expertise, and a machine learning engineer to co-found a company at ARCH's direction represents the best outcome of the company-builder model. The Neumora investment—identifying early-stage work on microbiome-brain axis and backing it to $500M+ valuation and Amgen partnership—exemplifies the kind of contrarian bet that defines Kessler's career. He is energized by portfolio company wins: when a company achieves a clinical milestone, demonstrates platform scalability, or attracts strategic partnerships. Finally, Kessler is excited about the democratization of scientific tools: open-source single-cell genomics platforms, accessible AI modeling tools, and cloud-based neuroimaging enabling smaller biotech teams to punch above their weight.</w:t>
      </w:r>
    </w:p>
    <w:p>
      <w:pPr>
        <w:pStyle w:val="ListParagraph"/>
        <w:numPr>
          <w:ilvl w:val="0"/>
          <w:numId w:val="1"/>
        </w:numPr>
        <w:spacing w:after="80"/>
        <w:rPr>
          <w:rFonts w:ascii="Arial" w:cs="Arial" w:eastAsia="Arial" w:hAnsi="Arial"/>
          <w:sz w:val="24"/>
          <w:szCs w:val="24"/>
        </w:rPr>
      </w:pPr>
      <w:r>
        <w:t xml:space="preserve">Breakthrough science that challenges scientific dogma: adult neurogenesis, glial cell roles in neurodegeneration, unexpected therapeutic applications</w:t>
      </w:r>
    </w:p>
    <w:p>
      <w:pPr>
        <w:pStyle w:val="ListParagraph"/>
        <w:numPr>
          <w:ilvl w:val="0"/>
          <w:numId w:val="1"/>
        </w:numPr>
        <w:spacing w:after="80"/>
        <w:rPr>
          <w:rFonts w:ascii="Arial" w:cs="Arial" w:eastAsia="Arial" w:hAnsi="Arial"/>
          <w:sz w:val="24"/>
          <w:szCs w:val="24"/>
        </w:rPr>
      </w:pPr>
      <w:r>
        <w:t xml:space="preserve">Convergence moments: connectomics + AI + novel modalities creating new possibilities for previously intractable problems</w:t>
      </w:r>
    </w:p>
    <w:p>
      <w:pPr>
        <w:pStyle w:val="ListParagraph"/>
        <w:numPr>
          <w:ilvl w:val="0"/>
          <w:numId w:val="1"/>
        </w:numPr>
        <w:spacing w:after="80"/>
        <w:rPr>
          <w:rFonts w:ascii="Arial" w:cs="Arial" w:eastAsia="Arial" w:hAnsi="Arial"/>
          <w:sz w:val="24"/>
          <w:szCs w:val="24"/>
        </w:rPr>
      </w:pPr>
      <w:r>
        <w:t xml:space="preserve">Founder stories: assembling world-class teams across neuroscience, pharma operations, and machine learning at company founding</w:t>
      </w:r>
    </w:p>
    <w:p>
      <w:pPr>
        <w:pStyle w:val="ListParagraph"/>
        <w:numPr>
          <w:ilvl w:val="0"/>
          <w:numId w:val="1"/>
        </w:numPr>
        <w:spacing w:after="80"/>
        <w:rPr>
          <w:rFonts w:ascii="Arial" w:cs="Arial" w:eastAsia="Arial" w:hAnsi="Arial"/>
          <w:sz w:val="24"/>
          <w:szCs w:val="24"/>
        </w:rPr>
      </w:pPr>
      <w:r>
        <w:t xml:space="preserve">Portfolio company wins: clinical milestones, platform scalability, strategic pharma partnerships</w:t>
      </w:r>
    </w:p>
    <w:p>
      <w:pPr>
        <w:pStyle w:val="ListParagraph"/>
        <w:numPr>
          <w:ilvl w:val="0"/>
          <w:numId w:val="1"/>
        </w:numPr>
        <w:spacing w:after="80"/>
        <w:rPr>
          <w:rFonts w:ascii="Arial" w:cs="Arial" w:eastAsia="Arial" w:hAnsi="Arial"/>
          <w:sz w:val="24"/>
          <w:szCs w:val="24"/>
        </w:rPr>
      </w:pPr>
      <w:r>
        <w:t xml:space="preserve">Contrarian bets vindicated: investments like Neumora (microbiome-brain axis) reaching $500M+ valuations</w:t>
      </w:r>
    </w:p>
    <w:p>
      <w:pPr>
        <w:pStyle w:val="ListParagraph"/>
        <w:numPr>
          <w:ilvl w:val="0"/>
          <w:numId w:val="1"/>
        </w:numPr>
        <w:spacing w:after="80"/>
        <w:rPr>
          <w:rFonts w:ascii="Arial" w:cs="Arial" w:eastAsia="Arial" w:hAnsi="Arial"/>
          <w:sz w:val="24"/>
          <w:szCs w:val="24"/>
        </w:rPr>
      </w:pPr>
      <w:r>
        <w:t xml:space="preserve">Fund XIII deployment: capital explicitly focused on "next generation AI-focused biotechs" validates the convergence thesis</w:t>
      </w:r>
    </w:p>
    <w:p>
      <w:pPr>
        <w:pStyle w:val="ListParagraph"/>
        <w:numPr>
          <w:ilvl w:val="0"/>
          <w:numId w:val="1"/>
        </w:numPr>
        <w:spacing w:after="80"/>
        <w:rPr>
          <w:rFonts w:ascii="Arial" w:cs="Arial" w:eastAsia="Arial" w:hAnsi="Arial"/>
          <w:sz w:val="24"/>
          <w:szCs w:val="24"/>
        </w:rPr>
      </w:pPr>
      <w:r>
        <w:t xml:space="preserve">Democratization of scientific tools: open-source platforms, accessible AI, cloud computing enabling lean biotech teams</w:t>
      </w:r>
    </w:p>
    <w:p>
      <w:pPr>
        <w:spacing w:before="200" w:after="100"/>
        <w:rPr>
          <w:rFonts w:ascii="Arial" w:cs="Arial" w:eastAsia="Arial" w:hAnsi="Arial"/>
          <w:b/>
          <w:bCs/>
          <w:sz w:val="26"/>
          <w:szCs w:val="26"/>
        </w:rPr>
      </w:pPr>
      <w:r>
        <w:t xml:space="preserve">How He Engages with Biotech</w:t>
      </w:r>
    </w:p>
    <w:p>
      <w:pPr>
        <w:spacing w:after="100"/>
        <w:jc w:val="left"/>
        <w:rPr>
          <w:rFonts w:ascii="Arial" w:cs="Arial" w:eastAsia="Arial" w:hAnsi="Arial"/>
          <w:sz w:val="24"/>
          <w:szCs w:val="24"/>
        </w:rPr>
      </w:pPr>
      <w:r>
        <w:t xml:space="preserve">Kessler's engagement model is hands-on, deeply scientific, and explicitly collaborative. Upon investment, he takes a board seat or board observer role and becomes an active partner in the portfolio company's strategy. He conducts monthly deep dives with founding scientists and CEOs, reviewing emerging clinical data, competitive landscape shifts, and strategic partnerships. Unlike passive financial investors, Kessler actively helps recruit talent—he leverages his Stanford and MIT advisory roles to identify early-career scientists who could strengthen founding teams. He also facilitates introductions to pharma executives, regulatory consultants, and clinical trial design experts. ARCH's co-founding model means Kessler is often engaged before a company is formally launched: he works with academic labs to identify co-founder candidates, shape the initial technology thesis, and secure pre-seed or seed funding. Once companies are mature, Kessler transitions to lighter engagement but remains available for strategic inflection points. He attends major industry conferences (neuroscience society meetings, biotech investor conferences) and uses these venues to identify emerging science and maintain relationships with academic leaders. He also writes occasional thought leadership pieces on neuroscience + AI + venture capital for industry publications. Internally at ARCH, Kessler leads the neuroscience practice area and mentors younger Venture Partners in scientific diligence and founder assessment. He is known as the go-to partner for diligence calls with academic labs or early-stage biotech founders.</w:t>
      </w:r>
    </w:p>
    <w:p>
      <w:pPr>
        <w:pStyle w:val="ListParagraph"/>
        <w:numPr>
          <w:ilvl w:val="0"/>
          <w:numId w:val="1"/>
        </w:numPr>
        <w:spacing w:after="80"/>
        <w:rPr>
          <w:rFonts w:ascii="Arial" w:cs="Arial" w:eastAsia="Arial" w:hAnsi="Arial"/>
          <w:sz w:val="24"/>
          <w:szCs w:val="24"/>
        </w:rPr>
      </w:pPr>
      <w:r>
        <w:t xml:space="preserve">Takes board seat or observer role in portfolio companies; conducts monthly deep dives on science, competitive landscape, strategy</w:t>
      </w:r>
    </w:p>
    <w:p>
      <w:pPr>
        <w:pStyle w:val="ListParagraph"/>
        <w:numPr>
          <w:ilvl w:val="0"/>
          <w:numId w:val="1"/>
        </w:numPr>
        <w:spacing w:after="80"/>
        <w:rPr>
          <w:rFonts w:ascii="Arial" w:cs="Arial" w:eastAsia="Arial" w:hAnsi="Arial"/>
          <w:sz w:val="24"/>
          <w:szCs w:val="24"/>
        </w:rPr>
      </w:pPr>
      <w:r>
        <w:t xml:space="preserve">Actively recruits talent: leverages Stanford/MIT academic networks to identify scientists for founding teams</w:t>
      </w:r>
    </w:p>
    <w:p>
      <w:pPr>
        <w:pStyle w:val="ListParagraph"/>
        <w:numPr>
          <w:ilvl w:val="0"/>
          <w:numId w:val="1"/>
        </w:numPr>
        <w:spacing w:after="80"/>
        <w:rPr>
          <w:rFonts w:ascii="Arial" w:cs="Arial" w:eastAsia="Arial" w:hAnsi="Arial"/>
          <w:sz w:val="24"/>
          <w:szCs w:val="24"/>
        </w:rPr>
      </w:pPr>
      <w:r>
        <w:t xml:space="preserve">Facilitates introductions: connects portfolio companies to pharma executives, regulatory experts, clinical trial designers</w:t>
      </w:r>
    </w:p>
    <w:p>
      <w:pPr>
        <w:pStyle w:val="ListParagraph"/>
        <w:numPr>
          <w:ilvl w:val="0"/>
          <w:numId w:val="1"/>
        </w:numPr>
        <w:spacing w:after="80"/>
        <w:rPr>
          <w:rFonts w:ascii="Arial" w:cs="Arial" w:eastAsia="Arial" w:hAnsi="Arial"/>
          <w:sz w:val="24"/>
          <w:szCs w:val="24"/>
        </w:rPr>
      </w:pPr>
      <w:r>
        <w:t xml:space="preserve">Co-founding engagement: works with academic labs pre-launch to identify co-founders and shape technology thesis</w:t>
      </w:r>
    </w:p>
    <w:p>
      <w:pPr>
        <w:pStyle w:val="ListParagraph"/>
        <w:numPr>
          <w:ilvl w:val="0"/>
          <w:numId w:val="1"/>
        </w:numPr>
        <w:spacing w:after="80"/>
        <w:rPr>
          <w:rFonts w:ascii="Arial" w:cs="Arial" w:eastAsia="Arial" w:hAnsi="Arial"/>
          <w:sz w:val="24"/>
          <w:szCs w:val="24"/>
        </w:rPr>
      </w:pPr>
      <w:r>
        <w:t xml:space="preserve">Conference presence: attends major neuroscience and biotech conferences to identify emerging science and academic leaders</w:t>
      </w:r>
    </w:p>
    <w:p>
      <w:pPr>
        <w:pStyle w:val="ListParagraph"/>
        <w:numPr>
          <w:ilvl w:val="0"/>
          <w:numId w:val="1"/>
        </w:numPr>
        <w:spacing w:after="80"/>
        <w:rPr>
          <w:rFonts w:ascii="Arial" w:cs="Arial" w:eastAsia="Arial" w:hAnsi="Arial"/>
          <w:sz w:val="24"/>
          <w:szCs w:val="24"/>
        </w:rPr>
      </w:pPr>
      <w:r>
        <w:t xml:space="preserve">Thought leadership: occasional published pieces on neuroscience + AI + venture capital for industry publications</w:t>
      </w:r>
    </w:p>
    <w:p>
      <w:pPr>
        <w:pStyle w:val="ListParagraph"/>
        <w:numPr>
          <w:ilvl w:val="0"/>
          <w:numId w:val="1"/>
        </w:numPr>
        <w:spacing w:after="80"/>
        <w:rPr>
          <w:rFonts w:ascii="Arial" w:cs="Arial" w:eastAsia="Arial" w:hAnsi="Arial"/>
          <w:sz w:val="24"/>
          <w:szCs w:val="24"/>
        </w:rPr>
      </w:pPr>
      <w:r>
        <w:t xml:space="preserve">Internal leadership: leads neuroscience practice at ARCH, mentors younger VPs on diligence and founder assessment</w:t>
      </w:r>
    </w:p>
    <w:p>
      <w:pPr>
        <w:spacing w:before="200" w:after="100"/>
        <w:rPr>
          <w:rFonts w:ascii="Arial" w:cs="Arial" w:eastAsia="Arial" w:hAnsi="Arial"/>
          <w:b/>
          <w:bCs/>
          <w:sz w:val="26"/>
          <w:szCs w:val="26"/>
        </w:rPr>
      </w:pPr>
      <w:r>
        <w:t xml:space="preserve">Communication Style</w:t>
      </w:r>
    </w:p>
    <w:p>
      <w:pPr>
        <w:spacing w:after="100"/>
        <w:jc w:val="left"/>
        <w:rPr>
          <w:rFonts w:ascii="Arial" w:cs="Arial" w:eastAsia="Arial" w:hAnsi="Arial"/>
          <w:sz w:val="24"/>
          <w:szCs w:val="24"/>
        </w:rPr>
      </w:pPr>
      <w:r>
        <w:t xml:space="preserve">Kessler is known for direct, intellectually rigorous communication style that blends the precision of an academic scientist with the pragmatism of a venture investor. In partner meetings, he asks probing questions designed to stress-test assumptions: "What is the falsifiable hypothesis here? What would convince us this is wrong?" His communication is data-driven and mechanism-centric; he speaks in terms of biological pathways, mechanism of action, and translational hurdles rather than market sizing or revenue projections. With founding scientists, he is collaborative and respectful of domain expertise, but also pushes teams to think commercially and strategically. He is not afraid to deliver difficult feedback—if a portfolio company is pursuing a suboptimal clinical strategy, he will say so directly and help chart a better course. Kessler also communicates with characteristic intellectual humility: he acknowledges the limits of his knowledge and brings in external experts when needed. His writing style reflects his background: technically precise, evidence-based, with occasional references to foundational neuroscience literature. In public remarks, he emphasizes ARCH's contrarian philosophy and the importance of betting on science rather than markets. Internally, he is known for informal mentoring and approachability. Younger team members at ARCH feel comfortable asking Kessler detailed scientific questions, and he responds with patience and depth. His communication style with pharma executives is slightly more formal but maintains the same scientific rigor—he positions ARCH's portfolio companies in terms of strategic platform potential rather than near-term revenue opportunities.</w:t>
      </w:r>
    </w:p>
    <w:p>
      <w:pPr>
        <w:pStyle w:val="ListParagraph"/>
        <w:numPr>
          <w:ilvl w:val="0"/>
          <w:numId w:val="1"/>
        </w:numPr>
        <w:spacing w:after="80"/>
        <w:rPr>
          <w:rFonts w:ascii="Arial" w:cs="Arial" w:eastAsia="Arial" w:hAnsi="Arial"/>
          <w:sz w:val="24"/>
          <w:szCs w:val="24"/>
        </w:rPr>
      </w:pPr>
      <w:r>
        <w:t xml:space="preserve">Direct, intellectually rigorous: asks probing questions designed to stress-test scientific and strategic assumptions</w:t>
      </w:r>
    </w:p>
    <w:p>
      <w:pPr>
        <w:pStyle w:val="ListParagraph"/>
        <w:numPr>
          <w:ilvl w:val="0"/>
          <w:numId w:val="1"/>
        </w:numPr>
        <w:spacing w:after="80"/>
        <w:rPr>
          <w:rFonts w:ascii="Arial" w:cs="Arial" w:eastAsia="Arial" w:hAnsi="Arial"/>
          <w:sz w:val="24"/>
          <w:szCs w:val="24"/>
        </w:rPr>
      </w:pPr>
      <w:r>
        <w:t xml:space="preserve">Data-driven and mechanism-centric: speaks in biological pathways and translational hurdles, not market sizing</w:t>
      </w:r>
    </w:p>
    <w:p>
      <w:pPr>
        <w:pStyle w:val="ListParagraph"/>
        <w:numPr>
          <w:ilvl w:val="0"/>
          <w:numId w:val="1"/>
        </w:numPr>
        <w:spacing w:after="80"/>
        <w:rPr>
          <w:rFonts w:ascii="Arial" w:cs="Arial" w:eastAsia="Arial" w:hAnsi="Arial"/>
          <w:sz w:val="24"/>
          <w:szCs w:val="24"/>
        </w:rPr>
      </w:pPr>
      <w:r>
        <w:t xml:space="preserve">Collaborative with founders but direct with critical feedback: "If this strategy is wrong, I'll tell you and help find a better path"</w:t>
      </w:r>
    </w:p>
    <w:p>
      <w:pPr>
        <w:pStyle w:val="ListParagraph"/>
        <w:numPr>
          <w:ilvl w:val="0"/>
          <w:numId w:val="1"/>
        </w:numPr>
        <w:spacing w:after="80"/>
        <w:rPr>
          <w:rFonts w:ascii="Arial" w:cs="Arial" w:eastAsia="Arial" w:hAnsi="Arial"/>
          <w:sz w:val="24"/>
          <w:szCs w:val="24"/>
        </w:rPr>
      </w:pPr>
      <w:r>
        <w:t xml:space="preserve">Intellectually humble: acknowledges limits of knowledge, brings in external experts when appropriate</w:t>
      </w:r>
    </w:p>
    <w:p>
      <w:pPr>
        <w:pStyle w:val="ListParagraph"/>
        <w:numPr>
          <w:ilvl w:val="0"/>
          <w:numId w:val="1"/>
        </w:numPr>
        <w:spacing w:after="80"/>
        <w:rPr>
          <w:rFonts w:ascii="Arial" w:cs="Arial" w:eastAsia="Arial" w:hAnsi="Arial"/>
          <w:sz w:val="24"/>
          <w:szCs w:val="24"/>
        </w:rPr>
      </w:pPr>
      <w:r>
        <w:t xml:space="preserve">Writing style: technically precise, evidence-based, grounded in foundational neuroscience literature</w:t>
      </w:r>
    </w:p>
    <w:p>
      <w:pPr>
        <w:pStyle w:val="ListParagraph"/>
        <w:numPr>
          <w:ilvl w:val="0"/>
          <w:numId w:val="1"/>
        </w:numPr>
        <w:spacing w:after="80"/>
        <w:rPr>
          <w:rFonts w:ascii="Arial" w:cs="Arial" w:eastAsia="Arial" w:hAnsi="Arial"/>
          <w:sz w:val="24"/>
          <w:szCs w:val="24"/>
        </w:rPr>
      </w:pPr>
      <w:r>
        <w:t xml:space="preserve">Public messaging: emphasizes ARCH's contrarian philosophy and importance of science over market risk</w:t>
      </w:r>
    </w:p>
    <w:p>
      <w:pPr>
        <w:pStyle w:val="ListParagraph"/>
        <w:numPr>
          <w:ilvl w:val="0"/>
          <w:numId w:val="1"/>
        </w:numPr>
        <w:spacing w:after="80"/>
        <w:rPr>
          <w:rFonts w:ascii="Arial" w:cs="Arial" w:eastAsia="Arial" w:hAnsi="Arial"/>
          <w:sz w:val="24"/>
          <w:szCs w:val="24"/>
        </w:rPr>
      </w:pPr>
      <w:r>
        <w:t xml:space="preserve">Internally accessible and mentoring-oriented: junior team members comfortable asking deep scientific questions</w:t>
      </w:r>
    </w:p>
    <w:p>
      <w:pPr>
        <w:spacing w:before="200" w:after="100"/>
        <w:rPr>
          <w:rFonts w:ascii="Arial" w:cs="Arial" w:eastAsia="Arial" w:hAnsi="Arial"/>
          <w:b/>
          <w:bCs/>
          <w:sz w:val="26"/>
          <w:szCs w:val="26"/>
        </w:rPr>
      </w:pPr>
      <w:r>
        <w:t xml:space="preserve">Metrics He Tracks</w:t>
      </w:r>
    </w:p>
    <w:p>
      <w:pPr>
        <w:spacing w:after="100"/>
        <w:jc w:val="left"/>
        <w:rPr>
          <w:rFonts w:ascii="Arial" w:cs="Arial" w:eastAsia="Arial" w:hAnsi="Arial"/>
          <w:sz w:val="24"/>
          <w:szCs w:val="24"/>
        </w:rPr>
      </w:pPr>
      <w:r>
        <w:t xml:space="preserve">Kessler's metric-tracking reflects his dual background as scientist and investor. Unlike traditional VCs focused primarily on revenue growth and customer acquisition, Kessler monitors a mix of scientific, operational, and financial metrics. At the portfolio level, he tracks science validation: Has the underlying hypothesis been validated in independent labs? Have key publications been replicated or built upon by the broader scientific community? Are the founding scientists remaining engaged and productive? He monitors key clinical metrics: patient recruitment and retention rates, biomarker responses, adverse event profiles, and preliminary efficacy signals. Operationally, he tracks team composition: Has the company recruited world-class scientists? Are there strong pharma operations and regulatory expertise? Are key talent losses occurring? He monitors competitive dynamics: Who else is working on similar approaches? What is their progress? Are there defensible technology differentiators? Financially, Kessler tracks burn rate, runway, and path to milestones that unlock follow-on funding. He is also attuned to partnership announcements: strategic collaborations with pharma or academia validate the platform thesis and reduce company risk. At a portfolio level, Kessler tracks ARCH's overall neuroscience concentration, diversification across modalities (gene therapy, cell therapy, small molecule, etc.), and pipeline maturity. He monitors broader market metrics: FDA approvals in neuroscience, clinical trial landscape, emerging therapeutic targets, and competitive fundraising activity. He also tracks AI/biotech metrics: how many startups are using machine learning? What is the quality of AI in biotech improving? Are there defensible AI advantages or commoditization? Finally, Kessler tracks personal success: How many portfolio companies are reaching scale? How many represent genuinely novel science vs. incremental advances? Is ARCH's contrarian model delivering outsized returns?</w:t>
      </w:r>
    </w:p>
    <w:p>
      <w:pPr>
        <w:pStyle w:val="ListParagraph"/>
        <w:numPr>
          <w:ilvl w:val="0"/>
          <w:numId w:val="1"/>
        </w:numPr>
        <w:spacing w:after="80"/>
        <w:rPr>
          <w:rFonts w:ascii="Arial" w:cs="Arial" w:eastAsia="Arial" w:hAnsi="Arial"/>
          <w:sz w:val="24"/>
          <w:szCs w:val="24"/>
        </w:rPr>
      </w:pPr>
      <w:r>
        <w:t xml:space="preserve">Science validation: independent replication, publication track record, founding scientist engagement</w:t>
      </w:r>
    </w:p>
    <w:p>
      <w:pPr>
        <w:pStyle w:val="ListParagraph"/>
        <w:numPr>
          <w:ilvl w:val="0"/>
          <w:numId w:val="1"/>
        </w:numPr>
        <w:spacing w:after="80"/>
        <w:rPr>
          <w:rFonts w:ascii="Arial" w:cs="Arial" w:eastAsia="Arial" w:hAnsi="Arial"/>
          <w:sz w:val="24"/>
          <w:szCs w:val="24"/>
        </w:rPr>
      </w:pPr>
      <w:r>
        <w:t xml:space="preserve">Clinical metrics: patient recruitment/retention, biomarker responses, adverse event profiles, preliminary efficacy signals</w:t>
      </w:r>
    </w:p>
    <w:p>
      <w:pPr>
        <w:pStyle w:val="ListParagraph"/>
        <w:numPr>
          <w:ilvl w:val="0"/>
          <w:numId w:val="1"/>
        </w:numPr>
        <w:spacing w:after="80"/>
        <w:rPr>
          <w:rFonts w:ascii="Arial" w:cs="Arial" w:eastAsia="Arial" w:hAnsi="Arial"/>
          <w:sz w:val="24"/>
          <w:szCs w:val="24"/>
        </w:rPr>
      </w:pPr>
      <w:r>
        <w:t xml:space="preserve">Team composition: presence of world-class scientists, pharma operations expertise, regulatory talent, key departures</w:t>
      </w:r>
    </w:p>
    <w:p>
      <w:pPr>
        <w:pStyle w:val="ListParagraph"/>
        <w:numPr>
          <w:ilvl w:val="0"/>
          <w:numId w:val="1"/>
        </w:numPr>
        <w:spacing w:after="80"/>
        <w:rPr>
          <w:rFonts w:ascii="Arial" w:cs="Arial" w:eastAsia="Arial" w:hAnsi="Arial"/>
          <w:sz w:val="24"/>
          <w:szCs w:val="24"/>
        </w:rPr>
      </w:pPr>
      <w:r>
        <w:t xml:space="preserve">Competitive landscape: emerging competitors, progress benchmarks, defensible technology differentiators</w:t>
      </w:r>
    </w:p>
    <w:p>
      <w:pPr>
        <w:pStyle w:val="ListParagraph"/>
        <w:numPr>
          <w:ilvl w:val="0"/>
          <w:numId w:val="1"/>
        </w:numPr>
        <w:spacing w:after="80"/>
        <w:rPr>
          <w:rFonts w:ascii="Arial" w:cs="Arial" w:eastAsia="Arial" w:hAnsi="Arial"/>
          <w:sz w:val="24"/>
          <w:szCs w:val="24"/>
        </w:rPr>
      </w:pPr>
      <w:r>
        <w:t xml:space="preserve">Financial metrics: burn rate, runway, path to milestones, funding stage progression</w:t>
      </w:r>
    </w:p>
    <w:p>
      <w:pPr>
        <w:pStyle w:val="ListParagraph"/>
        <w:numPr>
          <w:ilvl w:val="0"/>
          <w:numId w:val="1"/>
        </w:numPr>
        <w:spacing w:after="80"/>
        <w:rPr>
          <w:rFonts w:ascii="Arial" w:cs="Arial" w:eastAsia="Arial" w:hAnsi="Arial"/>
          <w:sz w:val="24"/>
          <w:szCs w:val="24"/>
        </w:rPr>
      </w:pPr>
      <w:r>
        <w:t xml:space="preserve">Strategic partnerships: pharma collaborations, academic partnerships, licensing deals validating platform thesis</w:t>
      </w:r>
    </w:p>
    <w:p>
      <w:pPr>
        <w:pStyle w:val="ListParagraph"/>
        <w:numPr>
          <w:ilvl w:val="0"/>
          <w:numId w:val="1"/>
        </w:numPr>
        <w:spacing w:after="80"/>
        <w:rPr>
          <w:rFonts w:ascii="Arial" w:cs="Arial" w:eastAsia="Arial" w:hAnsi="Arial"/>
          <w:sz w:val="24"/>
          <w:szCs w:val="24"/>
        </w:rPr>
      </w:pPr>
      <w:r>
        <w:t xml:space="preserve">Portfolio-level metrics: ARCH neuroscience concentration, modality diversification (gene therapy, cell therapy, etc.), pipeline maturity</w:t>
      </w:r>
    </w:p>
    <w:p>
      <w:pPr>
        <w:spacing w:before="200" w:after="100"/>
        <w:rPr>
          <w:rFonts w:ascii="Arial" w:cs="Arial" w:eastAsia="Arial" w:hAnsi="Arial"/>
          <w:b/>
          <w:bCs/>
          <w:sz w:val="26"/>
          <w:szCs w:val="26"/>
        </w:rPr>
      </w:pPr>
      <w:r>
        <w:t xml:space="preserve">Long-Term Vision</w:t>
      </w:r>
    </w:p>
    <w:p>
      <w:pPr>
        <w:spacing w:after="100"/>
        <w:jc w:val="left"/>
        <w:rPr>
          <w:rFonts w:ascii="Arial" w:cs="Arial" w:eastAsia="Arial" w:hAnsi="Arial"/>
          <w:sz w:val="24"/>
          <w:szCs w:val="24"/>
        </w:rPr>
      </w:pPr>
      <w:r>
        <w:t xml:space="preserve">Kessler's long-term vision extends beyond venture returns to systemic transformation of neuroscience drug discovery and treatment. He envisions a future where AI-enabled platforms dramatically compress development timelines—where a truly novel neuro mechanism moves from academic discovery to FDA approval in 8-10 years rather than the current 15-20+ year norm. He sees platform companies built from ARCH's ecosystem becoming dominant infrastructure providers in neuroscience: companies like Xaira setting the standard for AI-driven drug discovery, and specialized biomarker platforms enabling early detection and stratification of neurodegeneration patients. Kessler is deeply committed to expanding ARCH's neuroscience footprint while maintaining scientific rigor. Fund XIII's $3 billion raise explicitly validates this vision—committing substantial capital to the thesis that AI and novel neuroscience are at an inflection point. Longer-term, Kessler hopes to see the microbiome-brain axis (exemplified by Neumora), connectomics, and closed-loop neuromodulation emerge as major therapeutic modalities alongside traditional small-molecule and biologics. He also hopes to see the venture model shift toward longer-term thinking and greater tolerance for development-stage risk. Finally, at a personal level, Kessler hopes his work at ARCH inspires the next generation of scientist-investors—individuals with deep domain expertise who can bridge academic discovery and commercial innovation. He views ARCH's track record (43 IPOs, 75 acquisitions, 150+ companies) as validation that the science-first, contrarian model works. His legacy goal is to help ensure that neuroscience patients—particularly those suffering from Alzheimer's, Parkinson's, depression, and other neurological diseases—benefit from breakthrough therapies that might otherwise never reach market. In this view, ARCH's role as patient-capital provider funding "science risk, not market risk" is essential to human health outcomes in the coming decades.</w:t>
      </w:r>
    </w:p>
    <w:p>
      <w:pPr>
        <w:pStyle w:val="ListParagraph"/>
        <w:numPr>
          <w:ilvl w:val="0"/>
          <w:numId w:val="1"/>
        </w:numPr>
        <w:spacing w:after="80"/>
        <w:rPr>
          <w:rFonts w:ascii="Arial" w:cs="Arial" w:eastAsia="Arial" w:hAnsi="Arial"/>
          <w:sz w:val="24"/>
          <w:szCs w:val="24"/>
        </w:rPr>
      </w:pPr>
      <w:r>
        <w:t xml:space="preserve">Vision for AI-compressed timelines: novel neuro mechanisms advancing from discovery to FDA approval in 8-10 years</w:t>
      </w:r>
    </w:p>
    <w:p>
      <w:pPr>
        <w:pStyle w:val="ListParagraph"/>
        <w:numPr>
          <w:ilvl w:val="0"/>
          <w:numId w:val="1"/>
        </w:numPr>
        <w:spacing w:after="80"/>
        <w:rPr>
          <w:rFonts w:ascii="Arial" w:cs="Arial" w:eastAsia="Arial" w:hAnsi="Arial"/>
          <w:sz w:val="24"/>
          <w:szCs w:val="24"/>
        </w:rPr>
      </w:pPr>
      <w:r>
        <w:t xml:space="preserve">Portfolio company dominance: ARCH portfolio companies becoming dominant infrastructure providers in neuroscience drug discovery</w:t>
      </w:r>
    </w:p>
    <w:p>
      <w:pPr>
        <w:pStyle w:val="ListParagraph"/>
        <w:numPr>
          <w:ilvl w:val="0"/>
          <w:numId w:val="1"/>
        </w:numPr>
        <w:spacing w:after="80"/>
        <w:rPr>
          <w:rFonts w:ascii="Arial" w:cs="Arial" w:eastAsia="Arial" w:hAnsi="Arial"/>
          <w:sz w:val="24"/>
          <w:szCs w:val="24"/>
        </w:rPr>
      </w:pPr>
      <w:r>
        <w:t xml:space="preserve">Expanded neuro footprint: Fund XIII validates ARCH's commitment to neuroscience, positioning firm as leader in science-driven neuro investment</w:t>
      </w:r>
    </w:p>
    <w:p>
      <w:pPr>
        <w:pStyle w:val="ListParagraph"/>
        <w:numPr>
          <w:ilvl w:val="0"/>
          <w:numId w:val="1"/>
        </w:numPr>
        <w:spacing w:after="80"/>
        <w:rPr>
          <w:rFonts w:ascii="Arial" w:cs="Arial" w:eastAsia="Arial" w:hAnsi="Arial"/>
          <w:sz w:val="24"/>
          <w:szCs w:val="24"/>
        </w:rPr>
      </w:pPr>
      <w:r>
        <w:t xml:space="preserve">Emerging therapeutic modalities: microbiome-brain axis, connectomics, and closed-loop neuromodulation as major treatment paradigms</w:t>
      </w:r>
    </w:p>
    <w:p>
      <w:pPr>
        <w:pStyle w:val="ListParagraph"/>
        <w:numPr>
          <w:ilvl w:val="0"/>
          <w:numId w:val="1"/>
        </w:numPr>
        <w:spacing w:after="80"/>
        <w:rPr>
          <w:rFonts w:ascii="Arial" w:cs="Arial" w:eastAsia="Arial" w:hAnsi="Arial"/>
          <w:sz w:val="24"/>
          <w:szCs w:val="24"/>
        </w:rPr>
      </w:pPr>
      <w:r>
        <w:t xml:space="preserve">Industry culture shift: venture model shifting toward longer time horizons and greater tolerance for development-stage science risk</w:t>
      </w:r>
    </w:p>
    <w:p>
      <w:pPr>
        <w:pStyle w:val="ListParagraph"/>
        <w:numPr>
          <w:ilvl w:val="0"/>
          <w:numId w:val="1"/>
        </w:numPr>
        <w:spacing w:after="80"/>
        <w:rPr>
          <w:rFonts w:ascii="Arial" w:cs="Arial" w:eastAsia="Arial" w:hAnsi="Arial"/>
          <w:sz w:val="24"/>
          <w:szCs w:val="24"/>
        </w:rPr>
      </w:pPr>
      <w:r>
        <w:t xml:space="preserve">Next-generation scientist-investors: inspiring researchers to become venture partners who bridge academic discovery and commercial innovation</w:t>
      </w:r>
    </w:p>
    <w:p>
      <w:pPr>
        <w:pStyle w:val="ListParagraph"/>
        <w:numPr>
          <w:ilvl w:val="0"/>
          <w:numId w:val="1"/>
        </w:numPr>
        <w:spacing w:after="80"/>
        <w:rPr>
          <w:rFonts w:ascii="Arial" w:cs="Arial" w:eastAsia="Arial" w:hAnsi="Arial"/>
          <w:sz w:val="24"/>
          <w:szCs w:val="24"/>
        </w:rPr>
      </w:pPr>
      <w:r>
        <w:t xml:space="preserve">Patient health impact: ensuring breakthrough therapies for Alzheimer's, Parkinson's, depression, and other neurological diseases reach patients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2026-02-18T12:54:58.707Z</dcterms:created>
  <dcterms:modified xsi:type="dcterms:W3CDTF">2026-02-18T12:54:58.707Z</dcterms:modified>
</cp:coreProperties>
</file>

<file path=docProps/custom.xml><?xml version="1.0" encoding="utf-8"?>
<Properties xmlns="http://schemas.openxmlformats.org/officeDocument/2006/custom-properties" xmlns:vt="http://schemas.openxmlformats.org/officeDocument/2006/docPropsVTypes"/>
</file>