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Dr. David "Dave" Rajan, MD, PhD</w:t>
      </w:r>
    </w:p>
    <w:p>
      <w:pPr>
        <w:spacing w:after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Partner, Healthcare/Neuroscience Division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Core Identity &amp; Investment Philosophy</w:t>
      </w:r>
    </w:p>
    <w:p>
      <w:p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Dr. Dave Rajan is a Principal Partner at NEA's Healthcare division, with deep expertise bridging clinical medicine, research, and venture capital. He embodies NEA's founder-first philosophy while bringing both scientific rigor and entrepreneurial vision to the table.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Believes exceptional founders solve healthcare problems that others deem "impossible"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Views NEA's $28B+ in committed capital as enabling long-term, patient-centered support through multi-round funding cycles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Sees venture capital as a tool for scientific innovation, not just financial returns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Invested in 47 healthcare companies with 28 successful exits (IPOs and acquisitions)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Alignment with Firm Philosophy</w:t>
      </w:r>
    </w:p>
    <w:p>
      <w:p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"NEA is founder-obsessed. We do not just write checks—we unlock exceptional founders crafting disruptive solutions." This motto drives every decision Dave makes.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Advocates for stage-agnostic investing: seed-stage neuroscience tools, Series A therapeutics, and post-IPO infrastructure companies all merit consideration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Champions NEA's multi-round support model, particularly critical for CNS (central nervous system) development requiring 10-15 year timelines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Leverages Opportunity Fund for follow-on rounds when founders demonstrate execution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Sees healthcare not as a separate vertical but as the apex of NEA's broader tech/software ecosystem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Professional Background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MD from Johns Hopkins School of Medicine; PhD in Neuroscience from Stanford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 years clinical practice as neurologist before transitioning to venture capital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Led NEA's healthcare investment committee since 2015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Co-founder of two biotech startups pre-NEA (both acquired)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Sits on advisory boards of three academic neuroscience centers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Author of 32 peer-reviewed publications on neuroprotection and regenerative medicine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Strategic Investment Priorities</w:t>
      </w:r>
    </w:p>
    <w:p>
      <w:p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Primary focus: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AI-driven drug discovery and precision medicine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Xaira Therapeutics exemplifies the thesis: $1B Series A in AI-powered target discovery for undruggable proteins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Shape Therapeutics represents RNA editing gene therapy potential—transformative but capital-hungry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Growing neurotech sector ($2.3B industry-wide in 2024) offers unprecedented opportunities in brain-computer interfaces and neuroimaging diagnostics</w:t>
      </w:r>
    </w:p>
    <w:p>
      <w:p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Secondary focus: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Platform infrastructure for biotech workflows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Data management, regulatory tracking, and clinical trial optimization tools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Sees AI as enabling tools, not replacing human expertise in medicine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Decision-Making Framework</w:t>
      </w:r>
    </w:p>
    <w:p>
      <w:p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Dave uses a rigorous yet pragmatic approach: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Science rigor: Digs into mechanisms of action, competitive landscape, and clinical validation data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Founder quality: Obsesses over founder track record, passion, and resilience—especially for 15-year development cycles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Market timing: Invests heavily in nascent categories (neurotech, RNA editing) before the herd arrives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Capital efficiency: Favors founders who respect dilution and build sustainable burn rates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Risk tolerance: Higher risk on early-stage platform plays; lower risk on late-stage therapeutics with clear regulatory pathways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View on AI &amp; Platforms</w:t>
      </w:r>
    </w:p>
    <w:p>
      <w:p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Dave is bullish on AI but nuanced: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"AI is a tool, not a founder. It accelerates discovery but cannot replace human judgment in medicine."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Excited by: Target discovery, biomarker prediction, trial patient matching, and drug repositioning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Skeptical of: Black-box models without mechanistic explanation; AI replacing human clinical judgment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Platform opportunity: Sees potential in infrastructure connecting AI tools to real-world clinical workflows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Pain Points &amp; Frustrations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Founder inexperience in venture: Many brilliant scientists underestimate fundraising complexity and investor expectations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Regulatory unpredictability: FDA guidance can shift, derailing timelines and capital plans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Talent acquisition: Recruiting top-tier talent to pre-revenue biotech companies remains incredibly difficult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Dilution concerns: Founders often take too much money too early, hampering subsequent rounds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Academic friction: University tech transfer offices sometimes impede commercialization of breakthrough research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Overhyped claims: Too many pitches promise 'cure-alls' without rigorous clinical validation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What Gets Him Excited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Founders with genuine clinical insight: Scientists who spent years in the trenches seeing the problem firsthand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Defensible IP: Proprietary platforms or methods that create lasting competitive advantage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Underestimated markets: Neuroscience was overlooked for a decade; now it's recognized as high-potential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Cross-disciplinary teams: Biologists + engineers + clinicians working seamlessly together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Long-term vision alignment: Founders planning for 20-year impact, not quick exits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How He Engages with Biotech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Quarterly deep-dives: Spends 20% of time in lab visits, clinical sites, and founder meetings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Board involvement: Actively serves on portfolio company boards, helping navigate regulatory strategy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Scientific translation: Often explains complex biology to non-scientific LPs and board members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Network activation: Introduces founders to clinical advisors, regulatory consultants, and fellow portfolio companies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Capital coordination: Orchestrates multi-round funding and bridge rounds using NEA Opportunity Fund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Exit strategy: Thinks about IPO preparation 5-7 years pre-exit; prepares founders for public company demands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Communication Style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Direct yet respectful: Challenges assumptions without dismissing founders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Evidence-based: Demands data, not opinions; cites peer-reviewed research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Storyteller: Translates complex science into compelling narratives for board and LP meetings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Mentor-like: Treats founders as colleagues, not subordinates; shares hard-won lessons from his own startup failures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Accessible: Regularly holds office hours with founders; responds to emails within 24 hours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Global perspective: Engages with biotech hubs (Boston, San Francisco, Cambridge UK, Singapore) to scout talent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Metrics He Tracks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Founder cohort: Success rates of first-time vs. repeat founders in his portfolio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Time to next milestone: Months from Series A to Phase 2 readout, regulatory approval to revenue generation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Capital efficiency: $ raised per clinical milestone achieved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Talent retention: Key team member attrition rates in portfolio companies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IP velocity: Patents filed and issued per year per company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LP returns: IRR by vintage year, exit count, and sector diversification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Market adoption: Post-approval reimbursement rates and real-world adoption metrics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Long-Term Vision</w:t>
      </w:r>
    </w:p>
    <w:p>
      <w:p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"In 20 years, we'll have solved at least three incurable diseases using tools we're funding today. Healthcare will be fundamentally AI-augmented—not AI-replaced. And NEA will have backed the founders who made it happen."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—Dave on his investment horizon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Personal mission: Democratize access to cutting-edge treatments through scalable, founder-driven innovation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Sector outlook: Expects consolidation in early-stage biotech but growth in deep-tech platforms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NEA's role: Remain the most founder-friendly, patient-capital provider for transformative healthcare innovations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2026-02-18T12:59:27.503Z</dcterms:created>
  <dcterms:modified xsi:type="dcterms:W3CDTF">2026-02-18T12:59:27.503Z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