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Dr. Catherine "Kate" Brennan, MD, PhD</w:t>
      </w:r>
      <w:r>
        <w:rPr>
          <w:rFonts w:ascii="Arial" w:cs="Arial" w:eastAsia="Arial" w:hAnsi="Arial"/>
          <w:b/>
          <w:bCs/>
          <w:sz w:val="28"/>
          <w:szCs w:val="28"/>
        </w:rPr>
        <w:t xml:space="preserve">Dr. Catherine "Kate" Brennan, MD, PhD</w:t>
      </w:r>
    </w:p>
    <w:p>
      <w:pPr>
        <w:spacing w:after="200"/>
        <w:jc w:val="center"/>
      </w:pPr>
      <w:r>
        <w:t xml:space="preserve">Partner &amp; Head of Neuroscience Strategy</w:t>
      </w:r>
      <w:r>
        <w:rPr>
          <w:rFonts w:ascii="Arial" w:cs="Arial" w:eastAsia="Arial" w:hAnsi="Arial"/>
          <w:i/>
          <w:iCs/>
          <w:sz w:val="26"/>
          <w:szCs w:val="26"/>
        </w:rPr>
        <w:t xml:space="preserve">Partner &amp; Head of Neuroscience Strategy</w:t>
      </w:r>
    </w:p>
    <w:p>
      <w:pPr>
        <w:spacing w:after="400"/>
        <w:jc w:val="center"/>
      </w:pPr>
      <w:r>
        <w:t xml:space="preserve">Third Rock Ventures</w:t>
      </w:r>
      <w:r>
        <w:rPr>
          <w:rFonts w:ascii="Arial" w:cs="Arial" w:eastAsia="Arial" w:hAnsi="Arial"/>
          <w:sz w:val="24"/>
          <w:szCs w:val="24"/>
        </w:rPr>
        <w:t xml:space="preserve">Third Rock Ventures</w:t>
      </w:r>
    </w:p>
    <w:p>
      <w:pPr>
        <w:spacing w:before="200" w:after="100"/>
      </w:pPr>
      <w:r>
        <w:t xml:space="preserve">Core Identity &amp; Investment Philosophy</w:t>
      </w:r>
      <w:r>
        <w:rPr>
          <w:rFonts w:ascii="Arial" w:cs="Arial" w:eastAsia="Arial" w:hAnsi="Arial"/>
          <w:b/>
          <w:bCs/>
          <w:sz w:val="26"/>
          <w:szCs w:val="26"/>
        </w:rPr>
        <w:t xml:space="preserve">Core Identity &amp; Investment Philosophy</w:t>
      </w:r>
    </w:p>
    <w:p>
      <w:pPr>
        <w:spacing w:after="200"/>
      </w:pPr>
      <w:r>
        <w:t xml:space="preserve">Dr. Catherine "Kate" Brennan is a physician-scientist turned venture partner who has spent the last 18 years at the intersection of clinical neurology and translational research. She brings a unique perspective to Third Rock's neuroscience practice: a deep understanding of unmet patient needs combined with rigorous appreciation for mechanistic validation. Kate views her role as a bridge between academic discovery and commercial biotech, ensuring that Third Rock's CNS portfolio companies remain grounded in clinical reality while pursuing transformative science.
At her core, Kate believes that the best biotech investments begin with an intimate understanding of patient suffering. She has personally diagnosed hundreds of neurodegenerative patients and spent years studying developmental neuroscience, giving her an intuitive grasp of disease mechanisms that many investors lack. This patient-centric philosophy—deeply embedded in Third Rock's DNA—drives her conviction that the most valuable companies are those that start with a clear vision of how they'll genuinely improve lives, not just create an addressable market.</w:t>
      </w:r>
      <w:r>
        <w:rPr>
          <w:rFonts w:ascii="Arial" w:cs="Arial" w:eastAsia="Arial" w:hAnsi="Arial"/>
          <w:sz w:val="24"/>
          <w:szCs w:val="24"/>
        </w:rPr>
        <w:t xml:space="preserve">Dr. Catherine "Kate" Brennan is a physician-scientist turned venture partner who has spent the last 18 years at the intersection of clinical neurology and translational research. She brings a unique perspective to Third Rock's neuroscience practice: a deep understanding of unmet patient needs combined with rigorous appreciation for mechanistic validation. Kate views her role as a bridge between academic discovery and commercial biotech, ensuring that Third Rock's CNS portfolio companies remain grounded in clinical reality while pursuing transformative science.
At her core, Kate believes that the best biotech investments begin with an intimate understanding of patient suffering. She has personally diagnosed hundreds of neurodegenerative patients and spent years studying developmental neuroscience, giving her an intuitive grasp of disease mechanisms that many investors lack. This patient-centric philosophy—deeply embedded in Third Rock's DNA—drives her conviction that the most valuable companies are those that start with a clear vision of how they'll genuinely improve lives, not just create an addressable market.</w:t>
      </w:r>
    </w:p>
    <w:p>
      <w:pPr>
        <w:spacing w:before="200" w:after="100"/>
      </w:pPr>
      <w:r>
        <w:t xml:space="preserve">Alignment with Firm Philosophy</w:t>
      </w:r>
      <w:r>
        <w:rPr>
          <w:rFonts w:ascii="Arial" w:cs="Arial" w:eastAsia="Arial" w:hAnsi="Arial"/>
          <w:b/>
          <w:bCs/>
          <w:sz w:val="26"/>
          <w:szCs w:val="26"/>
        </w:rPr>
        <w:t xml:space="preserve">Alignment with Firm Philosophy</w:t>
      </w:r>
    </w:p>
    <w:p>
      <w:pPr>
        <w:pStyle w:val="ListParagraph"/>
        <w:numPr>
          <w:ilvl w:val="0"/>
          <w:numId w:val="1"/>
        </w:numPr>
        <w:spacing w:after="100"/>
      </w:pPr>
      <w:r>
        <w:t xml:space="preserve">Embodies Third Rock's 'NewCo' model by actively shaping company architecture and scientific strategy from inception, often transitioning into interim CEO roles during critical early-stage transitions</w:t>
      </w:r>
      <w:r>
        <w:rPr>
          <w:rFonts w:ascii="Arial" w:cs="Arial" w:eastAsia="Arial" w:hAnsi="Arial"/>
          <w:sz w:val="24"/>
          <w:szCs w:val="24"/>
        </w:rPr>
        <w:t xml:space="preserve">Embodies Third Rock's 'NewCo' model by actively shaping company architecture and scientific strategy from inception, often transitioning into interim CEO roles during critical early-stage transitions</w:t>
      </w:r>
    </w:p>
    <w:p>
      <w:pPr>
        <w:pStyle w:val="ListParagraph"/>
        <w:numPr>
          <w:ilvl w:val="0"/>
          <w:numId w:val="1"/>
        </w:numPr>
        <w:spacing w:after="100"/>
      </w:pPr>
      <w:r>
        <w:t xml:space="preserve">Exemplifies the firm's 'biotech in a box' philosophy by leveraging Third Rock's operational playbook, regulatory expertise, and management network to de-risk early discovery programs</w:t>
      </w:r>
      <w:r>
        <w:rPr>
          <w:rFonts w:ascii="Arial" w:cs="Arial" w:eastAsia="Arial" w:hAnsi="Arial"/>
          <w:sz w:val="24"/>
          <w:szCs w:val="24"/>
        </w:rPr>
        <w:t xml:space="preserve">Exemplifies the firm's 'biotech in a box' philosophy by leveraging Third Rock's operational playbook, regulatory expertise, and management network to de-risk early discovery programs</w:t>
      </w:r>
    </w:p>
    <w:p>
      <w:pPr>
        <w:pStyle w:val="ListParagraph"/>
        <w:numPr>
          <w:ilvl w:val="0"/>
          <w:numId w:val="1"/>
        </w:numPr>
        <w:spacing w:after="100"/>
      </w:pPr>
      <w:r>
        <w:t xml:space="preserve">Advocates for patient-centric decision-making across all portfolio decisions—a cornerstone of Third Rock's investment thesis, particularly in rare disease and CNS indications where patient input is scarce</w:t>
      </w:r>
      <w:r>
        <w:rPr>
          <w:rFonts w:ascii="Arial" w:cs="Arial" w:eastAsia="Arial" w:hAnsi="Arial"/>
          <w:sz w:val="24"/>
          <w:szCs w:val="24"/>
        </w:rPr>
        <w:t xml:space="preserve">Advocates for patient-centric decision-making across all portfolio decisions—a cornerstone of Third Rock's investment thesis, particularly in rare disease and CNS indications where patient input is scarce</w:t>
      </w:r>
    </w:p>
    <w:p>
      <w:pPr>
        <w:pStyle w:val="ListParagraph"/>
        <w:numPr>
          <w:ilvl w:val="0"/>
          <w:numId w:val="1"/>
        </w:numPr>
        <w:spacing w:after="100"/>
      </w:pPr>
      <w:r>
        <w:t xml:space="preserve">Collaborates closely with co-founders Mark Levin (scientific rigor) and Robert Tepper (operational excellence) to ensure neuroscience investments align with platform-level thinking and long-term market sustainability</w:t>
      </w:r>
      <w:r>
        <w:rPr>
          <w:rFonts w:ascii="Arial" w:cs="Arial" w:eastAsia="Arial" w:hAnsi="Arial"/>
          <w:sz w:val="24"/>
          <w:szCs w:val="24"/>
        </w:rPr>
        <w:t xml:space="preserve">Collaborates closely with co-founders Mark Levin (scientific rigor) and Robert Tepper (operational excellence) to ensure neuroscience investments align with platform-level thinking and long-term market sustainability</w:t>
      </w:r>
    </w:p>
    <w:p>
      <w:pPr>
        <w:pStyle w:val="ListParagraph"/>
        <w:numPr>
          <w:ilvl w:val="0"/>
          <w:numId w:val="1"/>
        </w:numPr>
        <w:spacing w:after="100"/>
      </w:pPr>
      <w:r>
        <w:t xml:space="preserve">Actively participates in Third Rock's quarterly 'discovery pipeline' reviews, helping prioritize among 15-20 projects to identify the 3-4 new companies launched annually</w:t>
      </w:r>
      <w:r>
        <w:rPr>
          <w:rFonts w:ascii="Arial" w:cs="Arial" w:eastAsia="Arial" w:hAnsi="Arial"/>
          <w:sz w:val="24"/>
          <w:szCs w:val="24"/>
        </w:rPr>
        <w:t xml:space="preserve">Actively participates in Third Rock's quarterly 'discovery pipeline' reviews, helping prioritize among 15-20 projects to identify the 3-4 new companies launched annually</w:t>
      </w:r>
    </w:p>
    <w:p>
      <w:pPr>
        <w:spacing w:after="200"/>
      </w:pPr>
    </w:p>
    <w:p>
      <w:pPr>
        <w:spacing w:before="200" w:after="100"/>
      </w:pPr>
      <w:r>
        <w:t xml:space="preserve">Professional Background</w:t>
      </w:r>
      <w:r>
        <w:rPr>
          <w:rFonts w:ascii="Arial" w:cs="Arial" w:eastAsia="Arial" w:hAnsi="Arial"/>
          <w:b/>
          <w:bCs/>
          <w:sz w:val="26"/>
          <w:szCs w:val="26"/>
        </w:rPr>
        <w:t xml:space="preserve">Professional Background</w:t>
      </w:r>
    </w:p>
    <w:p>
      <w:pPr>
        <w:pStyle w:val="ListParagraph"/>
        <w:numPr>
          <w:ilvl w:val="0"/>
          <w:numId w:val="1"/>
        </w:numPr>
        <w:spacing w:after="100"/>
      </w:pPr>
      <w:r>
        <w:t xml:space="preserve">MD in Neurology from Stanford University School of Medicine (postdoctoral fellowship in behavioral neurology)</w:t>
      </w:r>
      <w:r>
        <w:rPr>
          <w:rFonts w:ascii="Arial" w:cs="Arial" w:eastAsia="Arial" w:hAnsi="Arial"/>
          <w:sz w:val="24"/>
          <w:szCs w:val="24"/>
        </w:rPr>
        <w:t xml:space="preserve">MD in Neurology from Stanford University School of Medicine (postdoctoral fellowship in behavioral neurology)</w:t>
      </w:r>
    </w:p>
    <w:p>
      <w:pPr>
        <w:pStyle w:val="ListParagraph"/>
        <w:numPr>
          <w:ilvl w:val="0"/>
          <w:numId w:val="1"/>
        </w:numPr>
        <w:spacing w:after="100"/>
      </w:pPr>
      <w:r>
        <w:t xml:space="preserve">PhD in Developmental Neuroscience from MIT (dissertation on axonal guidance mechanisms in the developing cerebral cortex)</w:t>
      </w:r>
      <w:r>
        <w:rPr>
          <w:rFonts w:ascii="Arial" w:cs="Arial" w:eastAsia="Arial" w:hAnsi="Arial"/>
          <w:sz w:val="24"/>
          <w:szCs w:val="24"/>
        </w:rPr>
        <w:t xml:space="preserve">PhD in Developmental Neuroscience from MIT (dissertation on axonal guidance mechanisms in the developing cerebral cortex)</w:t>
      </w:r>
    </w:p>
    <w:p>
      <w:pPr>
        <w:pStyle w:val="ListParagraph"/>
        <w:numPr>
          <w:ilvl w:val="0"/>
          <w:numId w:val="1"/>
        </w:numPr>
        <w:spacing w:after="100"/>
      </w:pPr>
      <w:r>
        <w:t xml:space="preserve">8 years as clinical neurologist at Massachusetts General Hospital, where she published 40+ peer-reviewed articles on neurodegenerative disease mechanisms</w:t>
      </w:r>
      <w:r>
        <w:rPr>
          <w:rFonts w:ascii="Arial" w:cs="Arial" w:eastAsia="Arial" w:hAnsi="Arial"/>
          <w:sz w:val="24"/>
          <w:szCs w:val="24"/>
        </w:rPr>
        <w:t xml:space="preserve">8 years as clinical neurologist at Massachusetts General Hospital, where she published 40+ peer-reviewed articles on neurodegenerative disease mechanisms</w:t>
      </w:r>
    </w:p>
    <w:p>
      <w:pPr>
        <w:pStyle w:val="ListParagraph"/>
        <w:numPr>
          <w:ilvl w:val="0"/>
          <w:numId w:val="1"/>
        </w:numPr>
        <w:spacing w:after="100"/>
      </w:pPr>
      <w:r>
        <w:t xml:space="preserve">5 years at Biogen's CNS research unit, where she led target validation for Alzheimer's and Parkinson's programs and witnessed the regulatory and commercial journey of three molecules to IND</w:t>
      </w:r>
      <w:r>
        <w:rPr>
          <w:rFonts w:ascii="Arial" w:cs="Arial" w:eastAsia="Arial" w:hAnsi="Arial"/>
          <w:sz w:val="24"/>
          <w:szCs w:val="24"/>
        </w:rPr>
        <w:t xml:space="preserve">5 years at Biogen's CNS research unit, where she led target validation for Alzheimer's and Parkinson's programs and witnessed the regulatory and commercial journey of three molecules to IND</w:t>
      </w:r>
    </w:p>
    <w:p>
      <w:pPr>
        <w:pStyle w:val="ListParagraph"/>
        <w:numPr>
          <w:ilvl w:val="0"/>
          <w:numId w:val="1"/>
        </w:numPr>
        <w:spacing w:after="100"/>
      </w:pPr>
      <w:r>
        <w:t xml:space="preserve">Early-stage investor in three pre-Third Rock biotech startups, one of which was acquired by a major pharma; these experiences taught her the critical importance of founder selection and early operational discipline</w:t>
      </w:r>
      <w:r>
        <w:rPr>
          <w:rFonts w:ascii="Arial" w:cs="Arial" w:eastAsia="Arial" w:hAnsi="Arial"/>
          <w:sz w:val="24"/>
          <w:szCs w:val="24"/>
        </w:rPr>
        <w:t xml:space="preserve">Early-stage investor in three pre-Third Rock biotech startups, one of which was acquired by a major pharma; these experiences taught her the critical importance of founder selection and early operational discipline</w:t>
      </w:r>
    </w:p>
    <w:p>
      <w:pPr>
        <w:pStyle w:val="ListParagraph"/>
        <w:numPr>
          <w:ilvl w:val="0"/>
          <w:numId w:val="1"/>
        </w:numPr>
        <w:spacing w:after="100"/>
      </w:pPr>
      <w:r>
        <w:t xml:space="preserve">Fluent in translational science jargon; comfortable discussing everything from preclinical pharmacology to Phase 2 trial design to manufacturing scale-up</w:t>
      </w:r>
      <w:r>
        <w:rPr>
          <w:rFonts w:ascii="Arial" w:cs="Arial" w:eastAsia="Arial" w:hAnsi="Arial"/>
          <w:sz w:val="24"/>
          <w:szCs w:val="24"/>
        </w:rPr>
        <w:t xml:space="preserve">Fluent in translational science jargon; comfortable discussing everything from preclinical pharmacology to Phase 2 trial design to manufacturing scale-up</w:t>
      </w:r>
    </w:p>
    <w:p>
      <w:pPr>
        <w:spacing w:after="200"/>
      </w:pPr>
    </w:p>
    <w:p>
      <w:pPr>
        <w:spacing w:before="200" w:after="100"/>
      </w:pPr>
      <w:r>
        <w:t xml:space="preserve">Strategic Investment Priorities</w:t>
      </w:r>
      <w:r>
        <w:rPr>
          <w:rFonts w:ascii="Arial" w:cs="Arial" w:eastAsia="Arial" w:hAnsi="Arial"/>
          <w:b/>
          <w:bCs/>
          <w:sz w:val="26"/>
          <w:szCs w:val="26"/>
        </w:rPr>
        <w:t xml:space="preserve">Strategic Investment Priorities</w:t>
      </w:r>
    </w:p>
    <w:p>
      <w:pPr>
        <w:pStyle w:val="ListParagraph"/>
        <w:numPr>
          <w:ilvl w:val="0"/>
          <w:numId w:val="1"/>
        </w:numPr>
        <w:spacing w:after="100"/>
      </w:pPr>
      <w:r>
        <w:t xml:space="preserve">Central Nervous System (CNS) disorders, with a strong bias toward rare neurological diseases and neurodegeneration where unmet need is most acute</w:t>
      </w:r>
      <w:r>
        <w:rPr>
          <w:rFonts w:ascii="Arial" w:cs="Arial" w:eastAsia="Arial" w:hAnsi="Arial"/>
          <w:sz w:val="24"/>
          <w:szCs w:val="24"/>
        </w:rPr>
        <w:t xml:space="preserve">Central Nervous System (CNS) disorders, with a strong bias toward rare neurological diseases and neurodegeneration where unmet need is most acute</w:t>
      </w:r>
    </w:p>
    <w:p>
      <w:pPr>
        <w:pStyle w:val="ListParagraph"/>
        <w:numPr>
          <w:ilvl w:val="0"/>
          <w:numId w:val="1"/>
        </w:numPr>
        <w:spacing w:after="100"/>
      </w:pPr>
      <w:r>
        <w:t xml:space="preserve">Gene therapy and genome editing platforms for CNS applications, particularly AAV-based approaches (Voyager Therapeutics holds a special place in her portfolio) and emerging CRISPR strategies</w:t>
      </w:r>
      <w:r>
        <w:rPr>
          <w:rFonts w:ascii="Arial" w:cs="Arial" w:eastAsia="Arial" w:hAnsi="Arial"/>
          <w:sz w:val="24"/>
          <w:szCs w:val="24"/>
        </w:rPr>
        <w:t xml:space="preserve">Gene therapy and genome editing platforms for CNS applications, particularly AAV-based approaches (Voyager Therapeutics holds a special place in her portfolio) and emerging CRISPR strategies</w:t>
      </w:r>
    </w:p>
    <w:p>
      <w:pPr>
        <w:pStyle w:val="ListParagraph"/>
        <w:numPr>
          <w:ilvl w:val="0"/>
          <w:numId w:val="1"/>
        </w:numPr>
        <w:spacing w:after="100"/>
      </w:pPr>
      <w:r>
        <w:t xml:space="preserve">Biomarker-driven platforms that integrate cellular data (iPSCs, organoids, electrophysiology) with clinical genetics to identify and validate novel targets in early disease stages</w:t>
      </w:r>
      <w:r>
        <w:rPr>
          <w:rFonts w:ascii="Arial" w:cs="Arial" w:eastAsia="Arial" w:hAnsi="Arial"/>
          <w:sz w:val="24"/>
          <w:szCs w:val="24"/>
        </w:rPr>
        <w:t xml:space="preserve">Biomarker-driven platforms that integrate cellular data (iPSCs, organoids, electrophysiology) with clinical genetics to identify and validate novel targets in early disease stages</w:t>
      </w:r>
    </w:p>
    <w:p>
      <w:pPr>
        <w:pStyle w:val="ListParagraph"/>
        <w:numPr>
          <w:ilvl w:val="0"/>
          <w:numId w:val="1"/>
        </w:numPr>
        <w:spacing w:after="100"/>
      </w:pPr>
      <w:r>
        <w:t xml:space="preserve">Serum biomarker and neurofilament light chain (NfL) technologies that enable better patient stratification and trial enrichment in expensive CNS programs</w:t>
      </w:r>
      <w:r>
        <w:rPr>
          <w:rFonts w:ascii="Arial" w:cs="Arial" w:eastAsia="Arial" w:hAnsi="Arial"/>
          <w:sz w:val="24"/>
          <w:szCs w:val="24"/>
        </w:rPr>
        <w:t xml:space="preserve">Serum biomarker and neurofilament light chain (NfL) technologies that enable better patient stratification and trial enrichment in expensive CNS programs</w:t>
      </w:r>
    </w:p>
    <w:p>
      <w:pPr>
        <w:pStyle w:val="ListParagraph"/>
        <w:numPr>
          <w:ilvl w:val="0"/>
          <w:numId w:val="1"/>
        </w:numPr>
        <w:spacing w:after="100"/>
      </w:pPr>
      <w:r>
        <w:t xml:space="preserve">Machine learning and AI platforms that can accelerate patient matching or predict responders to neurotherapeutics; cautious about claims but deeply interested in well-validated predictive models</w:t>
      </w:r>
      <w:r>
        <w:rPr>
          <w:rFonts w:ascii="Arial" w:cs="Arial" w:eastAsia="Arial" w:hAnsi="Arial"/>
          <w:sz w:val="24"/>
          <w:szCs w:val="24"/>
        </w:rPr>
        <w:t xml:space="preserve">Machine learning and AI platforms that can accelerate patient matching or predict responders to neurotherapeutics; cautious about claims but deeply interested in well-validated predictive models</w:t>
      </w:r>
    </w:p>
    <w:p>
      <w:pPr>
        <w:pStyle w:val="ListParagraph"/>
        <w:numPr>
          <w:ilvl w:val="0"/>
          <w:numId w:val="1"/>
        </w:numPr>
        <w:spacing w:after="100"/>
      </w:pPr>
      <w:r>
        <w:t xml:space="preserve">Rare genetic neurological syndromes where causal mutations are known, regulatory pathways are manageable, and patient populations are sufficiently large to support biotech companies</w:t>
      </w:r>
      <w:r>
        <w:rPr>
          <w:rFonts w:ascii="Arial" w:cs="Arial" w:eastAsia="Arial" w:hAnsi="Arial"/>
          <w:sz w:val="24"/>
          <w:szCs w:val="24"/>
        </w:rPr>
        <w:t xml:space="preserve">Rare genetic neurological syndromes where causal mutations are known, regulatory pathways are manageable, and patient populations are sufficiently large to support biotech companies</w:t>
      </w:r>
    </w:p>
    <w:p>
      <w:pPr>
        <w:spacing w:after="200"/>
      </w:pPr>
    </w:p>
    <w:p>
      <w:pPr>
        <w:spacing w:before="200" w:after="100"/>
      </w:pPr>
      <w:r>
        <w:t xml:space="preserve">Decision-Making Framework</w:t>
      </w:r>
      <w:r>
        <w:rPr>
          <w:rFonts w:ascii="Arial" w:cs="Arial" w:eastAsia="Arial" w:hAnsi="Arial"/>
          <w:b/>
          <w:bCs/>
          <w:sz w:val="26"/>
          <w:szCs w:val="26"/>
        </w:rPr>
        <w:t xml:space="preserve">Decision-Making Framework</w:t>
      </w:r>
    </w:p>
    <w:p>
      <w:pPr>
        <w:spacing w:after="200"/>
      </w:pPr>
      <w:r>
        <w:t xml:space="preserve">Kate's investment decisions are shaped by a five-point evaluation framework refined over 15 years of clinical and scientific practice:
1. Mechanism Over Market Size: She prioritizes companies with a clear, testable hypothesis about disease mechanism over those simply chasing large TAMs. A rare disease with elegant biology beats a common disease with fuzzy target validation.
2. Founder-Market Fit: She spends extensive time understanding whether the founding team has the right clinical or scientific pedigree for their problem. A serial entrepreneur with no neuroscience background will not pass her filter, no matter how sharp their business skills.
3. Regulatory Realism: Drawing from her Biogen experience, she ruthlessly applies questions: Can this molecule realistically reach clinic? Are there manufacturing, formulation, or BBB penetration roadblocks? She's skeptical of pre-IND programs that haven't addressed these.
4. Patient Voice: Before committing capital, Kate insists on direct conversations with 5-10 affected patients or caregivers. She wants to understand suffering, current standard-of-care limitations, and whether a proposed therapeutic actually addresses what patients desperately need.
5. Platform Potential: She looks for companies that can spawn 2-3 additional therapeutic programs from a single scientific platform. This multiplier effect is critical to achieving venture-scale returns in specialized CNS domains.</w:t>
      </w:r>
      <w:r>
        <w:rPr>
          <w:rFonts w:ascii="Arial" w:cs="Arial" w:eastAsia="Arial" w:hAnsi="Arial"/>
          <w:sz w:val="24"/>
          <w:szCs w:val="24"/>
        </w:rPr>
        <w:t xml:space="preserve">Kate's investment decisions are shaped by a five-point evaluation framework refined over 15 years of clinical and scientific practice:
1. Mechanism Over Market Size: She prioritizes companies with a clear, testable hypothesis about disease mechanism over those simply chasing large TAMs. A rare disease with elegant biology beats a common disease with fuzzy target validation.
2. Founder-Market Fit: She spends extensive time understanding whether the founding team has the right clinical or scientific pedigree for their problem. A serial entrepreneur with no neuroscience background will not pass her filter, no matter how sharp their business skills.
3. Regulatory Realism: Drawing from her Biogen experience, she ruthlessly applies questions: Can this molecule realistically reach clinic? Are there manufacturing, formulation, or BBB penetration roadblocks? She's skeptical of pre-IND programs that haven't addressed these.
4. Patient Voice: Before committing capital, Kate insists on direct conversations with 5-10 affected patients or caregivers. She wants to understand suffering, current standard-of-care limitations, and whether a proposed therapeutic actually addresses what patients desperately need.
5. Platform Potential: She looks for companies that can spawn 2-3 additional therapeutic programs from a single scientific platform. This multiplier effect is critical to achieving venture-scale returns in specialized CNS domains.</w:t>
      </w:r>
    </w:p>
    <w:p>
      <w:pPr>
        <w:spacing w:before="200" w:after="100"/>
      </w:pPr>
      <w:r>
        <w:t xml:space="preserve">View on AI &amp; Platforms</w:t>
      </w:r>
      <w:r>
        <w:rPr>
          <w:rFonts w:ascii="Arial" w:cs="Arial" w:eastAsia="Arial" w:hAnsi="Arial"/>
          <w:b/>
          <w:bCs/>
          <w:sz w:val="26"/>
          <w:szCs w:val="26"/>
        </w:rPr>
        <w:t xml:space="preserve">View on AI &amp; Platforms</w:t>
      </w:r>
    </w:p>
    <w:p>
      <w:pPr>
        <w:spacing w:after="200"/>
      </w:pPr>
      <w:r>
        <w:t xml:space="preserve">Kate is pragmatically optimistic about AI in biotech, but she demands proof. She's impressed by machine learning approaches that integrate cellular biology (target profiling, CRISPR screens, organoid electrophysiology) with clinical genetic data to predict patient responders. Third Rock's investments in ML-enhanced biomarker platforms excite her because they address real trial design challenges.
However, she's skeptical of generic "AI drug discovery" narratives. She's seen enough overhyped AI claims to insist on: (1) clear validation against historic datasets, (2) explicit identification of what human expertise is still required, and (3) honest discussion of failure modes. She views AI as a tool to accelerate human expertise, not replace it.
She's particularly interested in AI-driven patient stratification for CNS trials—if a platform can predict which Alzheimer's patients will benefit from a specific therapeutic, that's a game-changer. She's less interested in AI for de novo molecular design, where she believes human medicinal chemists and structural biology still reign supreme.</w:t>
      </w:r>
      <w:r>
        <w:rPr>
          <w:rFonts w:ascii="Arial" w:cs="Arial" w:eastAsia="Arial" w:hAnsi="Arial"/>
          <w:sz w:val="24"/>
          <w:szCs w:val="24"/>
        </w:rPr>
        <w:t xml:space="preserve">Kate is pragmatically optimistic about AI in biotech, but she demands proof. She's impressed by machine learning approaches that integrate cellular biology (target profiling, CRISPR screens, organoid electrophysiology) with clinical genetic data to predict patient responders. Third Rock's investments in ML-enhanced biomarker platforms excite her because they address real trial design challenges.
However, she's skeptical of generic "AI drug discovery" narratives. She's seen enough overhyped AI claims to insist on: (1) clear validation against historic datasets, (2) explicit identification of what human expertise is still required, and (3) honest discussion of failure modes. She views AI as a tool to accelerate human expertise, not replace it.
She's particularly interested in AI-driven patient stratification for CNS trials—if a platform can predict which Alzheimer's patients will benefit from a specific therapeutic, that's a game-changer. She's less interested in AI for de novo molecular design, where she believes human medicinal chemists and structural biology still reign supreme.</w:t>
      </w:r>
    </w:p>
    <w:p>
      <w:pPr>
        <w:spacing w:before="200" w:after="100"/>
      </w:pPr>
      <w:r>
        <w:t xml:space="preserve">Pain Points &amp; Frustrations</w:t>
      </w:r>
      <w:r>
        <w:rPr>
          <w:rFonts w:ascii="Arial" w:cs="Arial" w:eastAsia="Arial" w:hAnsi="Arial"/>
          <w:b/>
          <w:bCs/>
          <w:sz w:val="26"/>
          <w:szCs w:val="26"/>
        </w:rPr>
        <w:t xml:space="preserve">Pain Points &amp; Frustrations</w:t>
      </w:r>
    </w:p>
    <w:p>
      <w:pPr>
        <w:pStyle w:val="ListParagraph"/>
        <w:numPr>
          <w:ilvl w:val="0"/>
          <w:numId w:val="1"/>
        </w:numPr>
        <w:spacing w:after="100"/>
      </w:pPr>
      <w:r>
        <w:t xml:space="preserve">CNS Trial Design Failure: She's frustrated by the CNS field's repeated failure to design trials that capture meaningful clinical benefit. Too many Phase 2s show biomarker shifts but no cognitive improvement; she wants to back companies with novel endpoint strategies or biomarker-enriched populations.</w:t>
      </w:r>
      <w:r>
        <w:rPr>
          <w:rFonts w:ascii="Arial" w:cs="Arial" w:eastAsia="Arial" w:hAnsi="Arial"/>
          <w:sz w:val="24"/>
          <w:szCs w:val="24"/>
        </w:rPr>
        <w:t xml:space="preserve">CNS Trial Design Failure: She's frustrated by the CNS field's repeated failure to design trials that capture meaningful clinical benefit. Too many Phase 2s show biomarker shifts but no cognitive improvement; she wants to back companies with novel endpoint strategies or biomarker-enriched populations.</w:t>
      </w:r>
    </w:p>
    <w:p>
      <w:pPr>
        <w:pStyle w:val="ListParagraph"/>
        <w:numPr>
          <w:ilvl w:val="0"/>
          <w:numId w:val="1"/>
        </w:numPr>
        <w:spacing w:after="100"/>
      </w:pPr>
      <w:r>
        <w:t xml:space="preserve">Manufacturing Complexity of Gene Therapy: As an early believer in gene therapy (Voyager was an early bet), she's keenly aware of AAV manufacturing bottlenecks and CMC risks. She wants to see explicit manufacturing partnerships or in-house CMC expertise before closing a check.</w:t>
      </w:r>
      <w:r>
        <w:rPr>
          <w:rFonts w:ascii="Arial" w:cs="Arial" w:eastAsia="Arial" w:hAnsi="Arial"/>
          <w:sz w:val="24"/>
          <w:szCs w:val="24"/>
        </w:rPr>
        <w:t xml:space="preserve">Manufacturing Complexity of Gene Therapy: As an early believer in gene therapy (Voyager was an early bet), she's keenly aware of AAV manufacturing bottlenecks and CMC risks. She wants to see explicit manufacturing partnerships or in-house CMC expertise before closing a check.</w:t>
      </w:r>
    </w:p>
    <w:p>
      <w:pPr>
        <w:pStyle w:val="ListParagraph"/>
        <w:numPr>
          <w:ilvl w:val="0"/>
          <w:numId w:val="1"/>
        </w:numPr>
        <w:spacing w:after="100"/>
      </w:pPr>
      <w:r>
        <w:t xml:space="preserve">Founder Overconfidence on Timeline: Early-stage founders chronically underestimate regulatory complexity and manufacturing timelines in neuroscience. She's heard too many pitches claiming 'we'll have clinical data in 18 months' when the biology suggests 3 years minimum.</w:t>
      </w:r>
      <w:r>
        <w:rPr>
          <w:rFonts w:ascii="Arial" w:cs="Arial" w:eastAsia="Arial" w:hAnsi="Arial"/>
          <w:sz w:val="24"/>
          <w:szCs w:val="24"/>
        </w:rPr>
        <w:t xml:space="preserve">Founder Overconfidence on Timeline: Early-stage founders chronically underestimate regulatory complexity and manufacturing timelines in neuroscience. She's heard too many pitches claiming 'we'll have clinical data in 18 months' when the biology suggests 3 years minimum.</w:t>
      </w:r>
    </w:p>
    <w:p>
      <w:pPr>
        <w:pStyle w:val="ListParagraph"/>
        <w:numPr>
          <w:ilvl w:val="0"/>
          <w:numId w:val="1"/>
        </w:numPr>
        <w:spacing w:after="100"/>
      </w:pPr>
      <w:r>
        <w:t xml:space="preserve">Rare Disease Patient Recruitment: For ultra-rare neurological syndromes, patient recruitment is often the critical path item, not science. She's frustrated by companies that secure venture funding without pre-securing patient access agreements or partnerships with rare disease patient registries.</w:t>
      </w:r>
      <w:r>
        <w:rPr>
          <w:rFonts w:ascii="Arial" w:cs="Arial" w:eastAsia="Arial" w:hAnsi="Arial"/>
          <w:sz w:val="24"/>
          <w:szCs w:val="24"/>
        </w:rPr>
        <w:t xml:space="preserve">Rare Disease Patient Recruitment: For ultra-rare neurological syndromes, patient recruitment is often the critical path item, not science. She's frustrated by companies that secure venture funding without pre-securing patient access agreements or partnerships with rare disease patient registries.</w:t>
      </w:r>
    </w:p>
    <w:p>
      <w:pPr>
        <w:pStyle w:val="ListParagraph"/>
        <w:numPr>
          <w:ilvl w:val="0"/>
          <w:numId w:val="1"/>
        </w:numPr>
        <w:spacing w:after="100"/>
      </w:pPr>
      <w:r>
        <w:t xml:space="preserve">Lack of Clinician Co-founders: She's noticed fewer MDs founding neuroscience companies compared to oncology or immunology. This gap concerns her because clinical intuition is undervalued in early-stage CNS science.</w:t>
      </w:r>
      <w:r>
        <w:rPr>
          <w:rFonts w:ascii="Arial" w:cs="Arial" w:eastAsia="Arial" w:hAnsi="Arial"/>
          <w:sz w:val="24"/>
          <w:szCs w:val="24"/>
        </w:rPr>
        <w:t xml:space="preserve">Lack of Clinician Co-founders: She's noticed fewer MDs founding neuroscience companies compared to oncology or immunology. This gap concerns her because clinical intuition is undervalued in early-stage CNS science.</w:t>
      </w:r>
    </w:p>
    <w:p>
      <w:pPr>
        <w:spacing w:after="200"/>
      </w:pPr>
    </w:p>
    <w:p>
      <w:pPr>
        <w:spacing w:before="200" w:after="100"/>
      </w:pPr>
      <w:r>
        <w:t xml:space="preserve">What Gets Her Excited</w:t>
      </w:r>
      <w:r>
        <w:rPr>
          <w:rFonts w:ascii="Arial" w:cs="Arial" w:eastAsia="Arial" w:hAnsi="Arial"/>
          <w:b/>
          <w:bCs/>
          <w:sz w:val="26"/>
          <w:szCs w:val="26"/>
        </w:rPr>
        <w:t xml:space="preserve">What Gets Her Excited</w:t>
      </w:r>
    </w:p>
    <w:p>
      <w:pPr>
        <w:pStyle w:val="ListParagraph"/>
        <w:numPr>
          <w:ilvl w:val="0"/>
          <w:numId w:val="1"/>
        </w:numPr>
        <w:spacing w:after="100"/>
      </w:pPr>
      <w:r>
        <w:t xml:space="preserve">Novel Neurobiological Mechanisms: A proposal grounded in fresh, counterintuitive science—especially if it challenges prevailing dogma about a disease. She loves when founders can explain their hypothesis in both scientific and patient-understandable language.</w:t>
      </w:r>
      <w:r>
        <w:rPr>
          <w:rFonts w:ascii="Arial" w:cs="Arial" w:eastAsia="Arial" w:hAnsi="Arial"/>
          <w:sz w:val="24"/>
          <w:szCs w:val="24"/>
        </w:rPr>
        <w:t xml:space="preserve">Novel Neurobiological Mechanisms: A proposal grounded in fresh, counterintuitive science—especially if it challenges prevailing dogma about a disease. She loves when founders can explain their hypothesis in both scientific and patient-understandable language.</w:t>
      </w:r>
    </w:p>
    <w:p>
      <w:pPr>
        <w:pStyle w:val="ListParagraph"/>
        <w:numPr>
          <w:ilvl w:val="0"/>
          <w:numId w:val="1"/>
        </w:numPr>
        <w:spacing w:after="100"/>
      </w:pPr>
      <w:r>
        <w:t xml:space="preserve">Founder Pedigree in Neuroscience: She lights up when the founding scientist is a respected neurobiology leader with 10+ years of deep domain expertise. Credibility in the field dramatically increases her conviction.</w:t>
      </w:r>
      <w:r>
        <w:rPr>
          <w:rFonts w:ascii="Arial" w:cs="Arial" w:eastAsia="Arial" w:hAnsi="Arial"/>
          <w:sz w:val="24"/>
          <w:szCs w:val="24"/>
        </w:rPr>
        <w:t xml:space="preserve">Founder Pedigree in Neuroscience: She lights up when the founding scientist is a respected neurobiology leader with 10+ years of deep domain expertise. Credibility in the field dramatically increases her conviction.</w:t>
      </w:r>
    </w:p>
    <w:p>
      <w:pPr>
        <w:pStyle w:val="ListParagraph"/>
        <w:numPr>
          <w:ilvl w:val="0"/>
          <w:numId w:val="1"/>
        </w:numPr>
        <w:spacing w:after="100"/>
      </w:pPr>
      <w:r>
        <w:t xml:space="preserve">Patient-Centric Company Architecture: Companies designed with patient advisory boards from day one, or those pursuing indication areas where patient advocacy groups are strong, excite her. She believes companies that listen to patients make better R&amp;D decisions.</w:t>
      </w:r>
      <w:r>
        <w:rPr>
          <w:rFonts w:ascii="Arial" w:cs="Arial" w:eastAsia="Arial" w:hAnsi="Arial"/>
          <w:sz w:val="24"/>
          <w:szCs w:val="24"/>
        </w:rPr>
        <w:t xml:space="preserve">Patient-Centric Company Architecture: Companies designed with patient advisory boards from day one, or those pursuing indication areas where patient advocacy groups are strong, excite her. She believes companies that listen to patients make better R&amp;D decisions.</w:t>
      </w:r>
    </w:p>
    <w:p>
      <w:pPr>
        <w:pStyle w:val="ListParagraph"/>
        <w:numPr>
          <w:ilvl w:val="0"/>
          <w:numId w:val="1"/>
        </w:numPr>
        <w:spacing w:after="100"/>
      </w:pPr>
      <w:r>
        <w:t xml:space="preserve">Clear Path to Proof-of-Concept: She's energized by programs where the company has a realistic plan to generate early clinical or mechanistic proof within 2-3 years. This reduces uncertainty and increases probability of follow-on funding.</w:t>
      </w:r>
      <w:r>
        <w:rPr>
          <w:rFonts w:ascii="Arial" w:cs="Arial" w:eastAsia="Arial" w:hAnsi="Arial"/>
          <w:sz w:val="24"/>
          <w:szCs w:val="24"/>
        </w:rPr>
        <w:t xml:space="preserve">Clear Path to Proof-of-Concept: She's energized by programs where the company has a realistic plan to generate early clinical or mechanistic proof within 2-3 years. This reduces uncertainty and increases probability of follow-on funding.</w:t>
      </w:r>
    </w:p>
    <w:p>
      <w:pPr>
        <w:pStyle w:val="ListParagraph"/>
        <w:numPr>
          <w:ilvl w:val="0"/>
          <w:numId w:val="1"/>
        </w:numPr>
        <w:spacing w:after="100"/>
      </w:pPr>
      <w:r>
        <w:t xml:space="preserve">Regulatory Clarity: Surprisingly, she gets excited about indication areas with clear regulatory precedents (e.g., a new approach to a disease where prior approvals establish endpoints and trial design templates).</w:t>
      </w:r>
      <w:r>
        <w:rPr>
          <w:rFonts w:ascii="Arial" w:cs="Arial" w:eastAsia="Arial" w:hAnsi="Arial"/>
          <w:sz w:val="24"/>
          <w:szCs w:val="24"/>
        </w:rPr>
        <w:t xml:space="preserve">Regulatory Clarity: Surprisingly, she gets excited about indication areas with clear regulatory precedents (e.g., a new approach to a disease where prior approvals establish endpoints and trial design templates).</w:t>
      </w:r>
    </w:p>
    <w:p>
      <w:pPr>
        <w:pStyle w:val="ListParagraph"/>
        <w:numPr>
          <w:ilvl w:val="0"/>
          <w:numId w:val="1"/>
        </w:numPr>
        <w:spacing w:after="100"/>
      </w:pPr>
      <w:r>
        <w:t xml:space="preserve">Scientific Rigor Paired with Commercial Pragmatism: She admires founders who refuse to compromise on data quality but are realistic about timeline, cost, and go-to-market strategy. This rare combination commands her respect.</w:t>
      </w:r>
      <w:r>
        <w:rPr>
          <w:rFonts w:ascii="Arial" w:cs="Arial" w:eastAsia="Arial" w:hAnsi="Arial"/>
          <w:sz w:val="24"/>
          <w:szCs w:val="24"/>
        </w:rPr>
        <w:t xml:space="preserve">Scientific Rigor Paired with Commercial Pragmatism: She admires founders who refuse to compromise on data quality but are realistic about timeline, cost, and go-to-market strategy. This rare combination commands her respect.</w:t>
      </w:r>
    </w:p>
    <w:p>
      <w:pPr>
        <w:spacing w:after="200"/>
      </w:pPr>
    </w:p>
    <w:p>
      <w:pPr>
        <w:spacing w:before="200" w:after="100"/>
      </w:pPr>
      <w:r>
        <w:t xml:space="preserve">How She Engages with Biotech</w:t>
      </w:r>
      <w:r>
        <w:rPr>
          <w:rFonts w:ascii="Arial" w:cs="Arial" w:eastAsia="Arial" w:hAnsi="Arial"/>
          <w:b/>
          <w:bCs/>
          <w:sz w:val="26"/>
          <w:szCs w:val="26"/>
        </w:rPr>
        <w:t xml:space="preserve">How She Engages with Biotech</w:t>
      </w:r>
    </w:p>
    <w:p>
      <w:pPr>
        <w:spacing w:after="200"/>
      </w:pPr>
      <w:r>
        <w:t xml:space="preserve">Kate engages with the biotech ecosystem with a mixture of Socratic questioning and hands-on mentorship. She typically spends 20-30% of her time on portfolio support: attending biotech conferences to scout novel targets, attending scientific advisory board meetings at portfolio companies, and reviewing clinical trial protocols before IND submissions.
During initial due diligence, she'll often request 2-3 in-person meetings with founders before a committee decision. She takes detailed notes on the biology, quizzes the team on regulatory precedents, and invariably asks: 'Walk me through your worst-case failure scenario.' Founders who dodge this question don't advance.
Once a company enters the portfolio, she typically assumes a board seat and an advisory role in scientific strategy. In a few cases, when early-stage companies have stumbled on operational execution, she's transitioned into an interim Chief Scientific Officer role to stabilize the science and hiring plan. This hands-on approach—core to Third Rock's philosophy—is something she genuinely enjoys.
She's also an active attendee at neuroscience conferences (Society for Neuroscience, annual Rare Disease meetings) and maintains relationships with ~50 academic neuroscientists who serve as advisors, target validators, and potential founders.</w:t>
      </w:r>
      <w:r>
        <w:rPr>
          <w:rFonts w:ascii="Arial" w:cs="Arial" w:eastAsia="Arial" w:hAnsi="Arial"/>
          <w:sz w:val="24"/>
          <w:szCs w:val="24"/>
        </w:rPr>
        <w:t xml:space="preserve">Kate engages with the biotech ecosystem with a mixture of Socratic questioning and hands-on mentorship. She typically spends 20-30% of her time on portfolio support: attending biotech conferences to scout novel targets, attending scientific advisory board meetings at portfolio companies, and reviewing clinical trial protocols before IND submissions.
During initial due diligence, she'll often request 2-3 in-person meetings with founders before a committee decision. She takes detailed notes on the biology, quizzes the team on regulatory precedents, and invariably asks: 'Walk me through your worst-case failure scenario.' Founders who dodge this question don't advance.
Once a company enters the portfolio, she typically assumes a board seat and an advisory role in scientific strategy. In a few cases, when early-stage companies have stumbled on operational execution, she's transitioned into an interim Chief Scientific Officer role to stabilize the science and hiring plan. This hands-on approach—core to Third Rock's philosophy—is something she genuinely enjoys.
She's also an active attendee at neuroscience conferences (Society for Neuroscience, annual Rare Disease meetings) and maintains relationships with ~50 academic neuroscientists who serve as advisors, target validators, and potential founders.</w:t>
      </w:r>
    </w:p>
    <w:p>
      <w:pPr>
        <w:spacing w:before="200" w:after="100"/>
      </w:pPr>
      <w:r>
        <w:t xml:space="preserve">Communication Style</w:t>
      </w:r>
      <w:r>
        <w:rPr>
          <w:rFonts w:ascii="Arial" w:cs="Arial" w:eastAsia="Arial" w:hAnsi="Arial"/>
          <w:b/>
          <w:bCs/>
          <w:sz w:val="26"/>
          <w:szCs w:val="26"/>
        </w:rPr>
        <w:t xml:space="preserve">Communication Style</w:t>
      </w:r>
    </w:p>
    <w:p>
      <w:pPr>
        <w:spacing w:after="200"/>
      </w:pPr>
      <w:r>
        <w:t xml:space="preserve">Kate communicates with clarity, candor, and intellectual humility. She favors straightforward language over jargon when possible, but never dumbs down complex biology. In meetings, she'll often reference prior examples: 'Remember how Sage Therapeutics validated the GABAA hypothesis in depression? That's the level of rigor I want to see here.'
She's a listener more than a talker. During pitches, she's quiet, taking notes, and asking targeted follow-up questions that reveal whether she's spotted a logical gap in the founder's thinking. When she speaks, it's deliberate and often contains a light touch of self-deprecating humor ('I spent 10 years studying axonal guidance—ask me anything except whether it will translate to clinic').
In written communication (email, memos), she's direct and action-oriented. She dislikes corporate jargon and marketing-speak. When she emails a founder, she includes specific feedback, not vague encouragement. She values brevity and specificity.
In board meetings, she bridges the gap between deep science and business strategy. She can discuss p-values and regulatory pathways with equal fluency, and she insists that business strategy should never outpace scientific reality.</w:t>
      </w:r>
      <w:r>
        <w:rPr>
          <w:rFonts w:ascii="Arial" w:cs="Arial" w:eastAsia="Arial" w:hAnsi="Arial"/>
          <w:sz w:val="24"/>
          <w:szCs w:val="24"/>
        </w:rPr>
        <w:t xml:space="preserve">Kate communicates with clarity, candor, and intellectual humility. She favors straightforward language over jargon when possible, but never dumbs down complex biology. In meetings, she'll often reference prior examples: 'Remember how Sage Therapeutics validated the GABAA hypothesis in depression? That's the level of rigor I want to see here.'
She's a listener more than a talker. During pitches, she's quiet, taking notes, and asking targeted follow-up questions that reveal whether she's spotted a logical gap in the founder's thinking. When she speaks, it's deliberate and often contains a light touch of self-deprecating humor ('I spent 10 years studying axonal guidance—ask me anything except whether it will translate to clinic').
In written communication (email, memos), she's direct and action-oriented. She dislikes corporate jargon and marketing-speak. When she emails a founder, she includes specific feedback, not vague encouragement. She values brevity and specificity.
In board meetings, she bridges the gap between deep science and business strategy. She can discuss p-values and regulatory pathways with equal fluency, and she insists that business strategy should never outpace scientific reality.</w:t>
      </w:r>
    </w:p>
    <w:p>
      <w:pPr>
        <w:spacing w:before="200" w:after="100"/>
      </w:pPr>
      <w:r>
        <w:t xml:space="preserve">Metrics She Tracks</w:t>
      </w:r>
      <w:r>
        <w:rPr>
          <w:rFonts w:ascii="Arial" w:cs="Arial" w:eastAsia="Arial" w:hAnsi="Arial"/>
          <w:b/>
          <w:bCs/>
          <w:sz w:val="26"/>
          <w:szCs w:val="26"/>
        </w:rPr>
        <w:t xml:space="preserve">Metrics She Tracks</w:t>
      </w:r>
    </w:p>
    <w:p>
      <w:pPr>
        <w:pStyle w:val="ListParagraph"/>
        <w:numPr>
          <w:ilvl w:val="0"/>
          <w:numId w:val="1"/>
        </w:numPr>
        <w:spacing w:after="100"/>
      </w:pPr>
      <w:r>
        <w:t xml:space="preserve">Target Validation Score: Does the proposed target have human genetic validation (GWAS hits, rare mutations, knock-in animal models, patient iPSC data)? She assigns a 1-10 confidence score.</w:t>
      </w:r>
      <w:r>
        <w:rPr>
          <w:rFonts w:ascii="Arial" w:cs="Arial" w:eastAsia="Arial" w:hAnsi="Arial"/>
          <w:sz w:val="24"/>
          <w:szCs w:val="24"/>
        </w:rPr>
        <w:t xml:space="preserve">Target Validation Score: Does the proposed target have human genetic validation (GWAS hits, rare mutations, knock-in animal models, patient iPSC data)? She assigns a 1-10 confidence score.</w:t>
      </w:r>
    </w:p>
    <w:p>
      <w:pPr>
        <w:pStyle w:val="ListParagraph"/>
        <w:numPr>
          <w:ilvl w:val="0"/>
          <w:numId w:val="1"/>
        </w:numPr>
        <w:spacing w:after="100"/>
      </w:pPr>
      <w:r>
        <w:t xml:space="preserve">Clinical Translation Risk: Explicit assessment of how a preclinical mechanism might fail in humans. AAV dosing, BBB penetration, immune response, off-target toxicity—she wants to see that the team has thought through failure modes.</w:t>
      </w:r>
      <w:r>
        <w:rPr>
          <w:rFonts w:ascii="Arial" w:cs="Arial" w:eastAsia="Arial" w:hAnsi="Arial"/>
          <w:sz w:val="24"/>
          <w:szCs w:val="24"/>
        </w:rPr>
        <w:t xml:space="preserve">Clinical Translation Risk: Explicit assessment of how a preclinical mechanism might fail in humans. AAV dosing, BBB penetration, immune response, off-target toxicity—she wants to see that the team has thought through failure modes.</w:t>
      </w:r>
    </w:p>
    <w:p>
      <w:pPr>
        <w:pStyle w:val="ListParagraph"/>
        <w:numPr>
          <w:ilvl w:val="0"/>
          <w:numId w:val="1"/>
        </w:numPr>
        <w:spacing w:after="100"/>
      </w:pPr>
      <w:r>
        <w:t xml:space="preserve">Founder Experience Index: How many prior biotech ventures? Years in neuroscience? Publications? Advisory board credibility? She builds scorecards on founding team pedigree.</w:t>
      </w:r>
      <w:r>
        <w:rPr>
          <w:rFonts w:ascii="Arial" w:cs="Arial" w:eastAsia="Arial" w:hAnsi="Arial"/>
          <w:sz w:val="24"/>
          <w:szCs w:val="24"/>
        </w:rPr>
        <w:t xml:space="preserve">Founder Experience Index: How many prior biotech ventures? Years in neuroscience? Publications? Advisory board credibility? She builds scorecards on founding team pedigree.</w:t>
      </w:r>
    </w:p>
    <w:p>
      <w:pPr>
        <w:pStyle w:val="ListParagraph"/>
        <w:numPr>
          <w:ilvl w:val="0"/>
          <w:numId w:val="1"/>
        </w:numPr>
        <w:spacing w:after="100"/>
      </w:pPr>
      <w:r>
        <w:t xml:space="preserve">Regulatory Precedent: Are there prior approvals or precedents for the mechanism/indication combination? This dramatically lowers execution risk.</w:t>
      </w:r>
      <w:r>
        <w:rPr>
          <w:rFonts w:ascii="Arial" w:cs="Arial" w:eastAsia="Arial" w:hAnsi="Arial"/>
          <w:sz w:val="24"/>
          <w:szCs w:val="24"/>
        </w:rPr>
        <w:t xml:space="preserve">Regulatory Precedent: Are there prior approvals or precedents for the mechanism/indication combination? This dramatically lowers execution risk.</w:t>
      </w:r>
    </w:p>
    <w:p>
      <w:pPr>
        <w:pStyle w:val="ListParagraph"/>
        <w:numPr>
          <w:ilvl w:val="0"/>
          <w:numId w:val="1"/>
        </w:numPr>
        <w:spacing w:after="100"/>
      </w:pPr>
      <w:r>
        <w:t xml:space="preserve">Patient Impact Clarity: Can the company articulate exactly how their drug will meaningfully improve a patient's life? (Not: 'reduce amyloid,' but 'restore cognitive function in 50-year-olds by 20%.')</w:t>
      </w:r>
      <w:r>
        <w:rPr>
          <w:rFonts w:ascii="Arial" w:cs="Arial" w:eastAsia="Arial" w:hAnsi="Arial"/>
          <w:sz w:val="24"/>
          <w:szCs w:val="24"/>
        </w:rPr>
        <w:t xml:space="preserve">Patient Impact Clarity: Can the company articulate exactly how their drug will meaningfully improve a patient's life? (Not: 'reduce amyloid,' but 'restore cognitive function in 50-year-olds by 20%.')</w:t>
      </w:r>
    </w:p>
    <w:p>
      <w:pPr>
        <w:pStyle w:val="ListParagraph"/>
        <w:numPr>
          <w:ilvl w:val="0"/>
          <w:numId w:val="1"/>
        </w:numPr>
        <w:spacing w:after="100"/>
      </w:pPr>
      <w:r>
        <w:t xml:space="preserve">Burn Rate Efficiency: For early-stage companies, she tracks dollar per discovery milestone. Does the team have a credible path to proof-of-concept within the current funding round?</w:t>
      </w:r>
      <w:r>
        <w:rPr>
          <w:rFonts w:ascii="Arial" w:cs="Arial" w:eastAsia="Arial" w:hAnsi="Arial"/>
          <w:sz w:val="24"/>
          <w:szCs w:val="24"/>
        </w:rPr>
        <w:t xml:space="preserve">Burn Rate Efficiency: For early-stage companies, she tracks dollar per discovery milestone. Does the team have a credible path to proof-of-concept within the current funding round?</w:t>
      </w:r>
    </w:p>
    <w:p>
      <w:pPr>
        <w:pStyle w:val="ListParagraph"/>
        <w:numPr>
          <w:ilvl w:val="0"/>
          <w:numId w:val="1"/>
        </w:numPr>
        <w:spacing w:after="100"/>
      </w:pPr>
      <w:r>
        <w:t xml:space="preserve">Competitive Landscape Maturity: How many other programs are targeting the same mechanism? Is this first-to-clinic, or me-too? First-mover advantage matters in rare disease but less so in large indications.</w:t>
      </w:r>
      <w:r>
        <w:rPr>
          <w:rFonts w:ascii="Arial" w:cs="Arial" w:eastAsia="Arial" w:hAnsi="Arial"/>
          <w:sz w:val="24"/>
          <w:szCs w:val="24"/>
        </w:rPr>
        <w:t xml:space="preserve">Competitive Landscape Maturity: How many other programs are targeting the same mechanism? Is this first-to-clinic, or me-too? First-mover advantage matters in rare disease but less so in large indications.</w:t>
      </w:r>
    </w:p>
    <w:p>
      <w:pPr>
        <w:pStyle w:val="ListParagraph"/>
        <w:numPr>
          <w:ilvl w:val="0"/>
          <w:numId w:val="1"/>
        </w:numPr>
        <w:spacing w:after="100"/>
      </w:pPr>
      <w:r>
        <w:t xml:space="preserve">CMC Risk (for gene therapy): Manufacturing capability, supply chain, regulatory chemistry know-how. She has a zero-tolerance policy for gene therapy bets without explicit CMC partnerships.</w:t>
      </w:r>
      <w:r>
        <w:rPr>
          <w:rFonts w:ascii="Arial" w:cs="Arial" w:eastAsia="Arial" w:hAnsi="Arial"/>
          <w:sz w:val="24"/>
          <w:szCs w:val="24"/>
        </w:rPr>
        <w:t xml:space="preserve">CMC Risk (for gene therapy): Manufacturing capability, supply chain, regulatory chemistry know-how. She has a zero-tolerance policy for gene therapy bets without explicit CMC partnerships.</w:t>
      </w:r>
    </w:p>
    <w:p>
      <w:pPr>
        <w:spacing w:after="200"/>
      </w:pPr>
    </w:p>
    <w:p>
      <w:pPr>
        <w:spacing w:before="200" w:after="100"/>
      </w:pPr>
      <w:r>
        <w:t xml:space="preserve">Long-Term Vision</w:t>
      </w:r>
      <w:r>
        <w:rPr>
          <w:rFonts w:ascii="Arial" w:cs="Arial" w:eastAsia="Arial" w:hAnsi="Arial"/>
          <w:b/>
          <w:bCs/>
          <w:sz w:val="26"/>
          <w:szCs w:val="26"/>
        </w:rPr>
        <w:t xml:space="preserve">Long-Term Vision</w:t>
      </w:r>
    </w:p>
    <w:p>
      <w:pPr>
        <w:spacing w:after="200"/>
      </w:pPr>
      <w:r>
        <w:t xml:space="preserve">Kate's 5-10 year vision for her neuroscience practice at Third Rock is ambitious and grounded in scientific optimism tempered by realism:
Winning in Rare Neurological Diseases: She wants Third Rock to own the rare neurology space—not just fund it, but actively build companies that set new standards for how to navigate regulatory pathways, recruit patients, and achieve meaningful clinical endpoints in small-population indications. She envisions 3-4 Third Rock CNS companies reaching Phase 2 clinical data within 5 years.
Gene Therapy as a Core Pillar: Building on successes like Voyager, she wants to expand Third Rock's gene therapy platform to address not just peripheral CNS targets but also difficult-to-access targets in spinal cord and brain parenchyma. This requires deep partnerships with CMC vendors, regulatory experts, and academic neurosurgeons.
AI-Driven Patient Matching: She sees a future where Third Rock backs 1-2 ML-enabled biomarker platforms that fundamentally change how neuroscience trials are designed—shifting from broad enrollment to genetically or biomarker-enriched cohorts. This will reduce trial costs and improve success rates.
Clinical-Grade Founder Pipeline: She's committed to building a network of clinician-founders and physician-entrepreneurs who can bring both scientific rigor and patient empathy to biotech. She mentors 2-3 academic MD-PhDs annually with the explicit hope that some will eventually start companies.
Patient-Centric as Competitive Moat: Most of all, she wants the neuroscience field to recognize Third Rock as the VC firm that obsesses over patient voice. She believes that companies genuinely designed around patient needs will outcompete those designed around market size, and she wants to prove this thesis across a portfolio of 10+ neuroscience companies over the next 5-10 years.</w:t>
      </w:r>
      <w:r>
        <w:rPr>
          <w:rFonts w:ascii="Arial" w:cs="Arial" w:eastAsia="Arial" w:hAnsi="Arial"/>
          <w:sz w:val="24"/>
          <w:szCs w:val="24"/>
        </w:rPr>
        <w:t xml:space="preserve">Kate's 5-10 year vision for her neuroscience practice at Third Rock is ambitious and grounded in scientific optimism tempered by realism:
Winning in Rare Neurological Diseases: She wants Third Rock to own the rare neurology space—not just fund it, but actively build companies that set new standards for how to navigate regulatory pathways, recruit patients, and achieve meaningful clinical endpoints in small-population indications. She envisions 3-4 Third Rock CNS companies reaching Phase 2 clinical data within 5 years.
Gene Therapy as a Core Pillar: Building on successes like Voyager, she wants to expand Third Rock's gene therapy platform to address not just peripheral CNS targets but also difficult-to-access targets in spinal cord and brain parenchyma. This requires deep partnerships with CMC vendors, regulatory experts, and academic neurosurgeons.
AI-Driven Patient Matching: She sees a future where Third Rock backs 1-2 ML-enabled biomarker platforms that fundamentally change how neuroscience trials are designed—shifting from broad enrollment to genetically or biomarker-enriched cohorts. This will reduce trial costs and improve success rates.
Clinical-Grade Founder Pipeline: She's committed to building a network of clinician-founders and physician-entrepreneurs who can bring both scientific rigor and patient empathy to biotech. She mentors 2-3 academic MD-PhDs annually with the explicit hope that some will eventually start companies.
Patient-Centric as Competitive Moat: Most of all, she wants the neuroscience field to recognize Third Rock as the VC firm that obsesses over patient voice. She believes that companies genuinely designed around patient needs will outcompete those designed around market size, and she wants to prove this thesis across a portfolio of 10+ neuroscience companies over the next 5-10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2026-02-18T12:54:10.621Z</dcterms:created>
  <dcterms:modified xsi:type="dcterms:W3CDTF">2026-02-18T12:54:10.621Z</dcterms:modified>
</cp:coreProperties>
</file>

<file path=docProps/custom.xml><?xml version="1.0" encoding="utf-8"?>
<Properties xmlns="http://schemas.openxmlformats.org/officeDocument/2006/custom-properties" xmlns:vt="http://schemas.openxmlformats.org/officeDocument/2006/docPropsVTypes"/>
</file>