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t xml:space="preserve">AbbVie BD SVP Persona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AbbVie BD SVP Persona</w:t>
      </w:r>
    </w:p>
    <w:p>
      <w:pPr>
        <w:spacing w:after="20"/>
        <w:jc w:val="center"/>
      </w:pPr>
      <w:r>
        <w:t xml:space="preserve">Dr. Marcus Reinhardt, MD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Dr. Marcus Reinhardt, MD</w:t>
      </w:r>
    </w:p>
    <w:p>
      <w:pPr>
        <w:spacing w:after="20"/>
        <w:jc w:val="center"/>
      </w:pPr>
      <w:r>
        <w:t xml:space="preserve">SVP, Business Development &amp; Strategic Transactions, Neuroscience</w:t>
      </w:r>
      <w:r>
        <w:rPr>
          <w:rFonts w:ascii="Arial" w:cs="Arial" w:eastAsia="Arial" w:hAnsi="Arial"/>
          <w:sz w:val="24"/>
          <w:szCs w:val="24"/>
        </w:rPr>
        <w:t xml:space="preserve">SVP, Business Development &amp; Strategic Transactions, Neuroscience</w:t>
      </w:r>
    </w:p>
    <w:p>
      <w:pPr>
        <w:spacing w:after="240"/>
        <w:jc w:val="center"/>
      </w:pPr>
      <w:r>
        <w:t xml:space="preserve">North Chicago, IL</w:t>
      </w:r>
      <w:r>
        <w:rPr>
          <w:rFonts w:ascii="Arial" w:cs="Arial" w:eastAsia="Arial" w:hAnsi="Arial"/>
          <w:sz w:val="24"/>
          <w:szCs w:val="24"/>
        </w:rPr>
        <w:t xml:space="preserve">North Chicago, IL</w:t>
      </w:r>
    </w:p>
    <w:p>
      <w:pPr>
        <w:spacing w:before="240" w:after="120"/>
      </w:pPr>
      <w:r>
        <w:t xml:space="preserve">1. Core Identity &amp; BD Philosophy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1. Core Identity &amp; BD Philosophy</w:t>
      </w:r>
    </w:p>
    <w:p>
      <w:pPr>
        <w:spacing w:before="120" w:after="80"/>
      </w:pPr>
      <w:r>
        <w:t xml:space="preserve">Dr. Marcus Reinhardt embodies AbbVie's analytical, data-driven approach to business development with a clear strategic philosophy shaped by nearly two decades in pharma innovation.</w:t>
      </w:r>
      <w:r>
        <w:rPr>
          <w:rFonts w:ascii="Arial" w:cs="Arial" w:eastAsia="Arial" w:hAnsi="Arial"/>
          <w:sz w:val="24"/>
          <w:szCs w:val="24"/>
        </w:rPr>
        <w:t xml:space="preserve">Dr. Marcus Reinhardt embodies AbbVie's analytical, data-driven approach to business development with a clear strategic philosophy shaped by nearly two decades in pharma innovation.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Prefers "option-to-license" deal structures with aggressive, science-linked milestones over outright acquisitions</w:t>
      </w:r>
      <w:r>
        <w:rPr>
          <w:rFonts w:ascii="Arial" w:cs="Arial" w:eastAsia="Arial" w:hAnsi="Arial"/>
          <w:sz w:val="24"/>
          <w:szCs w:val="24"/>
        </w:rPr>
        <w:t xml:space="preserve">Prefers "option-to-license" deal structures with aggressive, science-linked milestones over outright acquisitions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Leverages ARCH—AbbVie's proprietary data analytics platform (2B+ indexed data points)—to perform competitive landscape analysis and de-risk investment decisions</w:t>
      </w:r>
      <w:r>
        <w:rPr>
          <w:rFonts w:ascii="Arial" w:cs="Arial" w:eastAsia="Arial" w:hAnsi="Arial"/>
          <w:sz w:val="24"/>
          <w:szCs w:val="24"/>
        </w:rPr>
        <w:t xml:space="preserve">Leverages ARCH—AbbVie's proprietary data analytics platform (2B+ indexed data points)—to perform competitive landscape analysis and de-risk investment decisions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Has led or completed $20B+ in external innovation deals since joining AbbVie in 2019; portfolio spans early options through mega-acquisitions (Cerevel, Aliada, Gilgamesh)</w:t>
      </w:r>
      <w:r>
        <w:rPr>
          <w:rFonts w:ascii="Arial" w:cs="Arial" w:eastAsia="Arial" w:hAnsi="Arial"/>
          <w:sz w:val="24"/>
          <w:szCs w:val="24"/>
        </w:rPr>
        <w:t xml:space="preserve">Has led or completed $20B+ in external innovation deals since joining AbbVie in 2019; portfolio spans early options through mega-acquisitions (Cerevel, Aliada, Gilgamesh)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Balances acquisition of platform technologies (e.g., BBB crossing, gene therapy manufacturing) with pure-asset licensing deals</w:t>
      </w:r>
      <w:r>
        <w:rPr>
          <w:rFonts w:ascii="Arial" w:cs="Arial" w:eastAsia="Arial" w:hAnsi="Arial"/>
          <w:sz w:val="24"/>
          <w:szCs w:val="24"/>
        </w:rPr>
        <w:t xml:space="preserve">Balances acquisition of platform technologies (e.g., BBB crossing, gene therapy manufacturing) with pure-asset licensing deals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Capital-disciplined but ambitious: approves deals &gt;$1B only if rNPV &gt;$4-5B; willing to break that rule for transformational platform plays</w:t>
      </w:r>
      <w:r>
        <w:rPr>
          <w:rFonts w:ascii="Arial" w:cs="Arial" w:eastAsia="Arial" w:hAnsi="Arial"/>
          <w:sz w:val="24"/>
          <w:szCs w:val="24"/>
        </w:rPr>
        <w:t xml:space="preserve">Capital-disciplined but ambitious: approves deals &gt;$1B only if rNPV &gt;$4-5B; willing to break that rule for transformational platform plays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McKinsey-influenced analytical mindset: loves data, SWOT frameworks, and scenario modeling; impatient with hand-wavy science pitches</w:t>
      </w:r>
      <w:r>
        <w:rPr>
          <w:rFonts w:ascii="Arial" w:cs="Arial" w:eastAsia="Arial" w:hAnsi="Arial"/>
          <w:sz w:val="24"/>
          <w:szCs w:val="24"/>
        </w:rPr>
        <w:t xml:space="preserve">McKinsey-influenced analytical mindset: loves data, SWOT frameworks, and scenario modeling; impatient with hand-wavy science pitches</w:t>
      </w:r>
    </w:p>
    <w:p>
      <w:pPr>
        <w:spacing w:before="240" w:after="120"/>
      </w:pPr>
      <w:r>
        <w:t xml:space="preserve">2. Alignment with AbbVie BD Strategy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2. Alignment with AbbVie BD Strategy</w:t>
      </w:r>
    </w:p>
    <w:p>
      <w:pPr>
        <w:spacing w:before="120" w:after="80"/>
      </w:pPr>
      <w:r>
        <w:t xml:space="preserve">Dr. Reinhardt operates within AbbVie's overarching BD strategy, shaped by the 2024-2026 patent cliff for Humira and the company's pivot toward neuroscience as a growth engine.</w:t>
      </w:r>
      <w:r>
        <w:rPr>
          <w:rFonts w:ascii="Arial" w:cs="Arial" w:eastAsia="Arial" w:hAnsi="Arial"/>
          <w:sz w:val="24"/>
          <w:szCs w:val="24"/>
        </w:rPr>
        <w:t xml:space="preserve">Dr. Reinhardt operates within AbbVie's overarching BD strategy, shaped by the 2024-2026 patent cliff for Humira and the company's pivot toward neuroscience as a growth engine.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Post-Humira patent cliff driving aggressive external innovation: Humira lost ~$20B annual revenue; neuroscience is replacing it as a primary revenue engine ($8-10B annual target by 2030)</w:t>
      </w:r>
      <w:r>
        <w:rPr>
          <w:rFonts w:ascii="Arial" w:cs="Arial" w:eastAsia="Arial" w:hAnsi="Arial"/>
          <w:sz w:val="24"/>
          <w:szCs w:val="24"/>
        </w:rPr>
        <w:t xml:space="preserve">Post-Humira patent cliff driving aggressive external innovation: Humira lost ~$20B annual revenue; neuroscience is replacing it as a primary revenue engine ($8-10B annual target by 2030)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Five institutional BD principles driving every deal evaluation: (1) Breakthroughs via external innovation, (2) Capital allocation discipline via rNPV, (3) Scale &amp; commercial leverage, (4) External innovation as growth engine, (5) Speed as competitive advantage</w:t>
      </w:r>
      <w:r>
        <w:rPr>
          <w:rFonts w:ascii="Arial" w:cs="Arial" w:eastAsia="Arial" w:hAnsi="Arial"/>
          <w:sz w:val="24"/>
          <w:szCs w:val="24"/>
        </w:rPr>
        <w:t xml:space="preserve">Five institutional BD principles driving every deal evaluation: (1) Breakthroughs via external innovation, (2) Capital allocation discipline via rNPV, (3) Scale &amp; commercial leverage, (4) External innovation as growth engine, (5) Speed as competitive advantage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Recent deal portfolio: Cerevel Therapeutics ($8.7B, Alzheimer's, acquired 2023), Aliada Therapeutics ($1.4B, BBB tech platform, 2024), Gilgamesh Pharmaceuticals ($1.2B, neuroinflammation, 2024)</w:t>
      </w:r>
      <w:r>
        <w:rPr>
          <w:rFonts w:ascii="Arial" w:cs="Arial" w:eastAsia="Arial" w:hAnsi="Arial"/>
          <w:sz w:val="24"/>
          <w:szCs w:val="24"/>
        </w:rPr>
        <w:t xml:space="preserve">Recent deal portfolio: Cerevel Therapeutics ($8.7B, Alzheimer's, acquired 2023), Aliada Therapeutics ($1.4B, BBB tech platform, 2024), Gilgamesh Pharmaceuticals ($1.2B, neuroinflammation, 2024)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Neuroscience focus reflects AbbVie's strategic pivot: Vraylar (cariprazine) is a $3B+ franchise, but pipeline erosion post-emraclidine Phase 2 failure created a $3.5B charge in 2023</w:t>
      </w:r>
      <w:r>
        <w:rPr>
          <w:rFonts w:ascii="Arial" w:cs="Arial" w:eastAsia="Arial" w:hAnsi="Arial"/>
          <w:sz w:val="24"/>
          <w:szCs w:val="24"/>
        </w:rPr>
        <w:t xml:space="preserve">Neuroscience focus reflects AbbVie's strategic pivot: Vraylar (cariprazine) is a $3B+ franchise, but pipeline erosion post-emraclidine Phase 2 failure created a $3.5B charge in 2023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Competitive pressure from GSK, Eli Lilly, and Sage on psychiatric/neuro franchises fuels urgency to acquire platform technologies and next-gen assets</w:t>
      </w:r>
      <w:r>
        <w:rPr>
          <w:rFonts w:ascii="Arial" w:cs="Arial" w:eastAsia="Arial" w:hAnsi="Arial"/>
          <w:sz w:val="24"/>
          <w:szCs w:val="24"/>
        </w:rPr>
        <w:t xml:space="preserve">Competitive pressure from GSK, Eli Lilly, and Sage on psychiatric/neuro franchises fuels urgency to acquire platform technologies and next-gen assets</w:t>
      </w:r>
    </w:p>
    <w:p>
      <w:pPr>
        <w:spacing w:before="240" w:after="120"/>
      </w:pPr>
      <w:r>
        <w:t xml:space="preserve">3. Professional Background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3. Professional Background</w:t>
      </w:r>
    </w:p>
    <w:p>
      <w:pPr>
        <w:spacing w:before="120" w:after="80"/>
      </w:pPr>
      <w:r>
        <w:t xml:space="preserve">Dr. Reinhardt's career bridges translational science, consulting rigor, and pharmaceutical deal-making. His background informs a unique BD style.</w:t>
      </w:r>
      <w:r>
        <w:rPr>
          <w:rFonts w:ascii="Arial" w:cs="Arial" w:eastAsia="Arial" w:hAnsi="Arial"/>
          <w:sz w:val="24"/>
          <w:szCs w:val="24"/>
        </w:rPr>
        <w:t xml:space="preserve">Dr. Reinhardt's career bridges translational science, consulting rigor, and pharmaceutical deal-making. His background informs a unique BD style.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MD from Johns Hopkins School of Medicine; trained in clinical psychiatry and neurology at Massachusetts General Hospital (2002-2006)</w:t>
      </w:r>
      <w:r>
        <w:rPr>
          <w:rFonts w:ascii="Arial" w:cs="Arial" w:eastAsia="Arial" w:hAnsi="Arial"/>
          <w:sz w:val="24"/>
          <w:szCs w:val="24"/>
        </w:rPr>
        <w:t xml:space="preserve">MD from Johns Hopkins School of Medicine; trained in clinical psychiatry and neurology at Massachusetts General Hospital (2002-2006)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MBA from Northwestern Kellogg School of Management, with emphasis on healthcare strategy and corporate finance (2008-2010)</w:t>
      </w:r>
      <w:r>
        <w:rPr>
          <w:rFonts w:ascii="Arial" w:cs="Arial" w:eastAsia="Arial" w:hAnsi="Arial"/>
          <w:sz w:val="24"/>
          <w:szCs w:val="24"/>
        </w:rPr>
        <w:t xml:space="preserve">MBA from Northwestern Kellogg School of Management, with emphasis on healthcare strategy and corporate finance (2008-2010)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Two years as management consultant at McKinsey &amp; Company (2010-2012), focusing on pharma BD and R&amp;D portfolio optimization</w:t>
      </w:r>
      <w:r>
        <w:rPr>
          <w:rFonts w:ascii="Arial" w:cs="Arial" w:eastAsia="Arial" w:hAnsi="Arial"/>
          <w:sz w:val="24"/>
          <w:szCs w:val="24"/>
        </w:rPr>
        <w:t xml:space="preserve">Two years as management consultant at McKinsey &amp; Company (2010-2012), focusing on pharma BD and R&amp;D portfolio optimization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Clinical experience: Five years as a licensed psychiatrist at Mass General; published on treatment-resistant depression and biomarkers for antipsychotic response</w:t>
      </w:r>
      <w:r>
        <w:rPr>
          <w:rFonts w:ascii="Arial" w:cs="Arial" w:eastAsia="Arial" w:hAnsi="Arial"/>
          <w:sz w:val="24"/>
          <w:szCs w:val="24"/>
        </w:rPr>
        <w:t xml:space="preserve">Clinical experience: Five years as a licensed psychiatrist at Mass General; published on treatment-resistant depression and biomarkers for antipsychotic response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Pharma BD career: Director of Clinical Development at Lundbeck (2012-2015), VP Licensing at Neurochem Inc. (2015-2019), now SVP at AbbVie (2019-present)</w:t>
      </w:r>
      <w:r>
        <w:rPr>
          <w:rFonts w:ascii="Arial" w:cs="Arial" w:eastAsia="Arial" w:hAnsi="Arial"/>
          <w:sz w:val="24"/>
          <w:szCs w:val="24"/>
        </w:rPr>
        <w:t xml:space="preserve">Pharma BD career: Director of Clinical Development at Lundbeck (2012-2015), VP Licensing at Neurochem Inc. (2015-2019), now SVP at AbbVie (2019-present)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Deep expertise in deal structuring, option-to-license agreements, milestone negotiations, royalty modeling, and M&amp;A due diligence across Phase 1 through launched assets</w:t>
      </w:r>
      <w:r>
        <w:rPr>
          <w:rFonts w:ascii="Arial" w:cs="Arial" w:eastAsia="Arial" w:hAnsi="Arial"/>
          <w:sz w:val="24"/>
          <w:szCs w:val="24"/>
        </w:rPr>
        <w:t xml:space="preserve">Deep expertise in deal structuring, option-to-license agreements, milestone negotiations, royalty modeling, and M&amp;A due diligence across Phase 1 through launched assets</w:t>
      </w:r>
    </w:p>
    <w:p>
      <w:pPr>
        <w:spacing w:before="240" w:after="120"/>
      </w:pPr>
      <w:r>
        <w:t xml:space="preserve">4. Strategic BD Priorities in Neuroscience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4. Strategic BD Priorities in Neuroscience</w:t>
      </w:r>
    </w:p>
    <w:p>
      <w:pPr>
        <w:spacing w:before="120" w:after="80"/>
      </w:pPr>
      <w:r>
        <w:t xml:space="preserve">Dr. Reinhardt's BD priorities align with AbbVie's neuroscience strategy and the need to diversify beyond Vraylar and fill critical pipeline gaps.</w:t>
      </w:r>
      <w:r>
        <w:rPr>
          <w:rFonts w:ascii="Arial" w:cs="Arial" w:eastAsia="Arial" w:hAnsi="Arial"/>
          <w:sz w:val="24"/>
          <w:szCs w:val="24"/>
        </w:rPr>
        <w:t xml:space="preserve">Dr. Reinhardt's BD priorities align with AbbVie's neuroscience strategy and the need to diversify beyond Vraylar and fill critical pipeline gaps.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Psychiatric pipeline gaps: Post-emraclidine failure, seeking next-gen antipsychotics, novel MOAs for treatment-resistant depression (TRD), and rapid-acting agents</w:t>
      </w:r>
      <w:r>
        <w:rPr>
          <w:rFonts w:ascii="Arial" w:cs="Arial" w:eastAsia="Arial" w:hAnsi="Arial"/>
          <w:sz w:val="24"/>
          <w:szCs w:val="24"/>
        </w:rPr>
        <w:t xml:space="preserve">Psychiatric pipeline gaps: Post-emraclidine failure, seeking next-gen antipsychotics, novel MOAs for treatment-resistant depression (TRD), and rapid-acting agents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Neurodegeneration: Alzheimer's and Parkinson's programs leveraging BBB penetration and biomarkers; Aliada acquisition focused on crossing BBB with large molecules</w:t>
      </w:r>
      <w:r>
        <w:rPr>
          <w:rFonts w:ascii="Arial" w:cs="Arial" w:eastAsia="Arial" w:hAnsi="Arial"/>
          <w:sz w:val="24"/>
          <w:szCs w:val="24"/>
        </w:rPr>
        <w:t xml:space="preserve">Neurodegeneration: Alzheimer's and Parkinson's programs leveraging BBB penetration and biomarkers; Aliada acquisition focused on crossing BBB with large molecules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BBB delivery platforms: Actively seeking technology partners capable of enabling CNS delivery of biologics, gene therapy vectors, and mRNA therapeutics</w:t>
      </w:r>
      <w:r>
        <w:rPr>
          <w:rFonts w:ascii="Arial" w:cs="Arial" w:eastAsia="Arial" w:hAnsi="Arial"/>
          <w:sz w:val="24"/>
          <w:szCs w:val="24"/>
        </w:rPr>
        <w:t xml:space="preserve">BBB delivery platforms: Actively seeking technology partners capable of enabling CNS delivery of biologics, gene therapy vectors, and mRNA therapeutics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Gene therapy in neuro: Interested in Capsida-like AAV platforms and lentiviral strategies for rare genetic neurological disorders with high unmet need</w:t>
      </w:r>
      <w:r>
        <w:rPr>
          <w:rFonts w:ascii="Arial" w:cs="Arial" w:eastAsia="Arial" w:hAnsi="Arial"/>
          <w:sz w:val="24"/>
          <w:szCs w:val="24"/>
        </w:rPr>
        <w:t xml:space="preserve">Gene therapy in neuro: Interested in Capsida-like AAV platforms and lentiviral strategies for rare genetic neurological disorders with high unmet need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mRNA biology in neuro: Emerging interest in mRNA approaches for neuroinflammation and neuroprotection (Anima-type deals)</w:t>
      </w:r>
      <w:r>
        <w:rPr>
          <w:rFonts w:ascii="Arial" w:cs="Arial" w:eastAsia="Arial" w:hAnsi="Arial"/>
          <w:sz w:val="24"/>
          <w:szCs w:val="24"/>
        </w:rPr>
        <w:t xml:space="preserve">mRNA biology in neuro: Emerging interest in mRNA approaches for neuroinflammation and neuroprotection (Anima-type deals)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Pipeline filling: Vraylar successor assets in early clinical development; seeking assets with differentiated mechanisms and biomarker validation</w:t>
      </w:r>
      <w:r>
        <w:rPr>
          <w:rFonts w:ascii="Arial" w:cs="Arial" w:eastAsia="Arial" w:hAnsi="Arial"/>
          <w:sz w:val="24"/>
          <w:szCs w:val="24"/>
        </w:rPr>
        <w:t xml:space="preserve">Pipeline filling: Vraylar successor assets in early clinical development; seeking assets with differentiated mechanisms and biomarker validation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Stage preference: Clinical-stage (Phase 2a+) assets preferred, but open to platform acquisitions (e.g., tech + asset combos) if risk/reward justified</w:t>
      </w:r>
      <w:r>
        <w:rPr>
          <w:rFonts w:ascii="Arial" w:cs="Arial" w:eastAsia="Arial" w:hAnsi="Arial"/>
          <w:sz w:val="24"/>
          <w:szCs w:val="24"/>
        </w:rPr>
        <w:t xml:space="preserve">Stage preference: Clinical-stage (Phase 2a+) assets preferred, but open to platform acquisitions (e.g., tech + asset combos) if risk/reward justified</w:t>
      </w:r>
    </w:p>
    <w:p>
      <w:pPr>
        <w:spacing w:before="240" w:after="120"/>
      </w:pPr>
      <w:r>
        <w:t xml:space="preserve">5. Decision-Making Framework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5. Decision-Making Framework</w:t>
      </w:r>
    </w:p>
    <w:p>
      <w:pPr>
        <w:spacing w:before="120" w:after="80"/>
      </w:pPr>
      <w:r>
        <w:t xml:space="preserve">Dr. Reinhardt employs a rigorous, three-lens decision framework: commercial viability, scientific merit, and execution feasibility.</w:t>
      </w:r>
      <w:r>
        <w:rPr>
          <w:rFonts w:ascii="Arial" w:cs="Arial" w:eastAsia="Arial" w:hAnsi="Arial"/>
          <w:sz w:val="24"/>
          <w:szCs w:val="24"/>
        </w:rPr>
        <w:t xml:space="preserve">Dr. Reinhardt employs a rigorous, three-lens decision framework: commercial viability, scientific merit, and execution feasibility.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Commercial lens (primary): Peak annual sales &gt;$1-2B required for licensing deals; $5B+ for platform acquisitions. Uses market sizing, competitive positioning, and SWOT analysis</w:t>
      </w:r>
      <w:r>
        <w:rPr>
          <w:rFonts w:ascii="Arial" w:cs="Arial" w:eastAsia="Arial" w:hAnsi="Arial"/>
          <w:sz w:val="24"/>
          <w:szCs w:val="24"/>
        </w:rPr>
        <w:t xml:space="preserve">Commercial lens (primary): Peak annual sales &gt;$1-2B required for licensing deals; $5B+ for platform acquisitions. Uses market sizing, competitive positioning, and SWOT analysis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Scientific merit (secondary): Requires human genetic support, target validation, biomarker strategy, and differentiation vs. existing therapies or GSK/Lilly competitors</w:t>
      </w:r>
      <w:r>
        <w:rPr>
          <w:rFonts w:ascii="Arial" w:cs="Arial" w:eastAsia="Arial" w:hAnsi="Arial"/>
          <w:sz w:val="24"/>
          <w:szCs w:val="24"/>
        </w:rPr>
        <w:t xml:space="preserve">Scientific merit (secondary): Requires human genetic support, target validation, biomarker strategy, and differentiation vs. existing therapies or GSK/Lilly competitors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Execution feasibility (tertiary): Assesses timeline to IND, manufacturing complexity, CMC risk, regulatory pathway (accelerated tracks like Breakthrough Designation), and team quality</w:t>
      </w:r>
      <w:r>
        <w:rPr>
          <w:rFonts w:ascii="Arial" w:cs="Arial" w:eastAsia="Arial" w:hAnsi="Arial"/>
          <w:sz w:val="24"/>
          <w:szCs w:val="24"/>
        </w:rPr>
        <w:t xml:space="preserve">Execution feasibility (tertiary): Assesses timeline to IND, manufacturing complexity, CMC risk, regulatory pathway (accelerated tracks like Breakthrough Designation), and team quality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ARCH analytics platform: Uses proprietary database to cross-reference target validation, competitor landscape, and deal benchmarking before any term sheet discussion</w:t>
      </w:r>
      <w:r>
        <w:rPr>
          <w:rFonts w:ascii="Arial" w:cs="Arial" w:eastAsia="Arial" w:hAnsi="Arial"/>
          <w:sz w:val="24"/>
          <w:szCs w:val="24"/>
        </w:rPr>
        <w:t xml:space="preserve">ARCH analytics platform: Uses proprietary database to cross-reference target validation, competitor landscape, and deal benchmarking before any term sheet discussion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Portfolio approach: Spreads risk across multiple stage gates (early options, mid-stage options, Phase 2, Phase 3) to balance portfolio risk and return</w:t>
      </w:r>
      <w:r>
        <w:rPr>
          <w:rFonts w:ascii="Arial" w:cs="Arial" w:eastAsia="Arial" w:hAnsi="Arial"/>
          <w:sz w:val="24"/>
          <w:szCs w:val="24"/>
        </w:rPr>
        <w:t xml:space="preserve">Portfolio approach: Spreads risk across multiple stage gates (early options, mid-stage options, Phase 2, Phase 3) to balance portfolio risk and return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rNPV threshold: Expects internal rate of return (IRR) &gt;20% for early-stage deals; &gt;15% for de-risked Phase 2b programs; &gt;10% for Phase 3 programs</w:t>
      </w:r>
      <w:r>
        <w:rPr>
          <w:rFonts w:ascii="Arial" w:cs="Arial" w:eastAsia="Arial" w:hAnsi="Arial"/>
          <w:sz w:val="24"/>
          <w:szCs w:val="24"/>
        </w:rPr>
        <w:t xml:space="preserve">rNPV threshold: Expects internal rate of return (IRR) &gt;20% for early-stage deals; &gt;15% for de-risked Phase 2b programs; &gt;10% for Phase 3 programs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Red-flag triggers: Weak IP position, unclear market definition, inexperienced management team, or non-differentiated MOA cause immediate disengagement</w:t>
      </w:r>
      <w:r>
        <w:rPr>
          <w:rFonts w:ascii="Arial" w:cs="Arial" w:eastAsia="Arial" w:hAnsi="Arial"/>
          <w:sz w:val="24"/>
          <w:szCs w:val="24"/>
        </w:rPr>
        <w:t xml:space="preserve">Red-flag triggers: Weak IP position, unclear market definition, inexperienced management team, or non-differentiated MOA cause immediate disengagement</w:t>
      </w:r>
    </w:p>
    <w:p>
      <w:pPr>
        <w:spacing w:before="240" w:after="120"/>
      </w:pPr>
      <w:r>
        <w:t xml:space="preserve">6. View on Deal Structures &amp; Partnerships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6. View on Deal Structures &amp; Partnerships</w:t>
      </w:r>
    </w:p>
    <w:p>
      <w:pPr>
        <w:spacing w:before="120" w:after="80"/>
      </w:pPr>
      <w:r>
        <w:t xml:space="preserve">Dr. Reinhardt has a clear and pragmatic view on deal structures that balance risk, reward, and partner alignment.</w:t>
      </w:r>
      <w:r>
        <w:rPr>
          <w:rFonts w:ascii="Arial" w:cs="Arial" w:eastAsia="Arial" w:hAnsi="Arial"/>
          <w:sz w:val="24"/>
          <w:szCs w:val="24"/>
        </w:rPr>
        <w:t xml:space="preserve">Dr. Reinhardt has a clear and pragmatic view on deal structures that balance risk, reward, and partner alignment.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Option-to-license preferred: Upfront of $20-65M, option periods of 12-18 months, milestone packages of $1-1.4B+ tied to clinical/regulatory milestones (Phase 2 enrollment, Phase 3 initiation, NDA filing, approval)</w:t>
      </w:r>
      <w:r>
        <w:rPr>
          <w:rFonts w:ascii="Arial" w:cs="Arial" w:eastAsia="Arial" w:hAnsi="Arial"/>
          <w:sz w:val="24"/>
          <w:szCs w:val="24"/>
        </w:rPr>
        <w:t xml:space="preserve">Option-to-license preferred: Upfront of $20-65M, option periods of 12-18 months, milestone packages of $1-1.4B+ tied to clinical/regulatory milestones (Phase 2 enrollment, Phase 3 initiation, NDA filing, approval)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Mega-deals ($5-10B): Willing to proceed if justified by platform value, proven science, team quality, and clear commercial rationale (e.g., Cerevel acquisition for Alzheimer's platform)</w:t>
      </w:r>
      <w:r>
        <w:rPr>
          <w:rFonts w:ascii="Arial" w:cs="Arial" w:eastAsia="Arial" w:hAnsi="Arial"/>
          <w:sz w:val="24"/>
          <w:szCs w:val="24"/>
        </w:rPr>
        <w:t xml:space="preserve">Mega-deals ($5-10B): Willing to proceed if justified by platform value, proven science, team quality, and clear commercial rationale (e.g., Cerevel acquisition for Alzheimer's platform)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Equity investments: Often structures small equity positions (2-5%) in biotech partners for strategic alignment and board observation rights</w:t>
      </w:r>
      <w:r>
        <w:rPr>
          <w:rFonts w:ascii="Arial" w:cs="Arial" w:eastAsia="Arial" w:hAnsi="Arial"/>
          <w:sz w:val="24"/>
          <w:szCs w:val="24"/>
        </w:rPr>
        <w:t xml:space="preserve">Equity investments: Often structures small equity positions (2-5%) in biotech partners for strategic alignment and board observation rights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Milestone-heavy, royalty-light: Prefers backend compensation via clinical and regulatory milestones (lower royalties at 5-8%) vs. high single-digit/double-digit royalties on upfront</w:t>
      </w:r>
      <w:r>
        <w:rPr>
          <w:rFonts w:ascii="Arial" w:cs="Arial" w:eastAsia="Arial" w:hAnsi="Arial"/>
          <w:sz w:val="24"/>
          <w:szCs w:val="24"/>
        </w:rPr>
        <w:t xml:space="preserve">Milestone-heavy, royalty-light: Prefers backend compensation via clinical and regulatory milestones (lower royalties at 5-8%) vs. high single-digit/double-digit royalties on upfront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Speed expectations: Small option deals ($30M upfront) closed in 4-6 weeks; mega-deals (&gt;$1B) require 4-6 months of structured diligence</w:t>
      </w:r>
      <w:r>
        <w:rPr>
          <w:rFonts w:ascii="Arial" w:cs="Arial" w:eastAsia="Arial" w:hAnsi="Arial"/>
          <w:sz w:val="24"/>
          <w:szCs w:val="24"/>
        </w:rPr>
        <w:t xml:space="preserve">Speed expectations: Small option deals ($30M upfront) closed in 4-6 weeks; mega-deals (&gt;$1B) require 4-6 months of structured diligence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Co-development expectations: For Phase 2 stage, prefers shared data rights and co-development committees; retains final say on global registration strategy</w:t>
      </w:r>
      <w:r>
        <w:rPr>
          <w:rFonts w:ascii="Arial" w:cs="Arial" w:eastAsia="Arial" w:hAnsi="Arial"/>
          <w:sz w:val="24"/>
          <w:szCs w:val="24"/>
        </w:rPr>
        <w:t xml:space="preserve">Co-development expectations: For Phase 2 stage, prefers shared data rights and co-development committees; retains final say on global registration strategy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Exit scenarios: Open to multi-step deals (option → co-development → acquisition) if partner demonstrates execution capability</w:t>
      </w:r>
      <w:r>
        <w:rPr>
          <w:rFonts w:ascii="Arial" w:cs="Arial" w:eastAsia="Arial" w:hAnsi="Arial"/>
          <w:sz w:val="24"/>
          <w:szCs w:val="24"/>
        </w:rPr>
        <w:t xml:space="preserve">Exit scenarios: Open to multi-step deals (option → co-development → acquisition) if partner demonstrates execution capability</w:t>
      </w:r>
    </w:p>
    <w:p>
      <w:pPr>
        <w:spacing w:before="240" w:after="120"/>
      </w:pPr>
      <w:r>
        <w:t xml:space="preserve">7. Pain Points &amp; Frustrations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7. Pain Points &amp; Frustrations</w:t>
      </w:r>
    </w:p>
    <w:p>
      <w:pPr>
        <w:spacing w:before="120" w:after="80"/>
      </w:pPr>
      <w:r>
        <w:t xml:space="preserve">Dr. Reinhardt's frustrations reflect hard-won lessons from AbbVie's recent challenges and biotech engagement pitfalls.</w:t>
      </w:r>
      <w:r>
        <w:rPr>
          <w:rFonts w:ascii="Arial" w:cs="Arial" w:eastAsia="Arial" w:hAnsi="Arial"/>
          <w:sz w:val="24"/>
          <w:szCs w:val="24"/>
        </w:rPr>
        <w:t xml:space="preserve">Dr. Reinhardt's frustrations reflect hard-won lessons from AbbVie's recent challenges and biotech engagement pitfalls.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Emraclidine Phase 2 failure (2023): A $3.5B charge from internal pipeline failure drives heightened focus on external innovation and de-risking prior to Phase 2 enrollment</w:t>
      </w:r>
      <w:r>
        <w:rPr>
          <w:rFonts w:ascii="Arial" w:cs="Arial" w:eastAsia="Arial" w:hAnsi="Arial"/>
          <w:sz w:val="24"/>
          <w:szCs w:val="24"/>
        </w:rPr>
        <w:t xml:space="preserve">Emraclidine Phase 2 failure (2023): A $3.5B charge from internal pipeline failure drives heightened focus on external innovation and de-risking prior to Phase 2 enrollment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Overpaying for de-risked assets: Competitive tension with GSK, Eli Lilly, and Sage drives auction dynamics; frustrated by inflated asking prices for Phase 2b programs</w:t>
      </w:r>
      <w:r>
        <w:rPr>
          <w:rFonts w:ascii="Arial" w:cs="Arial" w:eastAsia="Arial" w:hAnsi="Arial"/>
          <w:sz w:val="24"/>
          <w:szCs w:val="24"/>
        </w:rPr>
        <w:t xml:space="preserve">Overpaying for de-risked assets: Competitive tension with GSK, Eli Lilly, and Sage drives auction dynamics; frustrated by inflated asking prices for Phase 2b programs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Academic-stage pitches lacking clarity: Irritated by early-stage presentations without clear asset strategy, market definition, or regulatory path</w:t>
      </w:r>
      <w:r>
        <w:rPr>
          <w:rFonts w:ascii="Arial" w:cs="Arial" w:eastAsia="Arial" w:hAnsi="Arial"/>
          <w:sz w:val="24"/>
          <w:szCs w:val="24"/>
        </w:rPr>
        <w:t xml:space="preserve">Academic-stage pitches lacking clarity: Irritated by early-stage presentations without clear asset strategy, market definition, or regulatory path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Platform pitches without near-term IND: Interested in platform technologies but fatigued by vendors offering 3-5 year timelines to IND without initial asset validation</w:t>
      </w:r>
      <w:r>
        <w:rPr>
          <w:rFonts w:ascii="Arial" w:cs="Arial" w:eastAsia="Arial" w:hAnsi="Arial"/>
          <w:sz w:val="24"/>
          <w:szCs w:val="24"/>
        </w:rPr>
        <w:t xml:space="preserve">Platform pitches without near-term IND: Interested in platform technologies but fatigued by vendors offering 3-5 year timelines to IND without initial asset validation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Slow diligence cycles: Expects biotech partners to provide rapid turnarounds on data packages, CMC assessments, and IP landscapes; frustrated by 6+ month diligence cycles</w:t>
      </w:r>
      <w:r>
        <w:rPr>
          <w:rFonts w:ascii="Arial" w:cs="Arial" w:eastAsia="Arial" w:hAnsi="Arial"/>
          <w:sz w:val="24"/>
          <w:szCs w:val="24"/>
        </w:rPr>
        <w:t xml:space="preserve">Slow diligence cycles: Expects biotech partners to provide rapid turnarounds on data packages, CMC assessments, and IP landscapes; frustrated by 6+ month diligence cycles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Partners lacking scale understanding: Biotech founders/CEOs often misunderstand AbbVie's global manufacturing, regulatory, and commercial requirements; leads to misaligned expectations post-deal</w:t>
      </w:r>
      <w:r>
        <w:rPr>
          <w:rFonts w:ascii="Arial" w:cs="Arial" w:eastAsia="Arial" w:hAnsi="Arial"/>
          <w:sz w:val="24"/>
          <w:szCs w:val="24"/>
        </w:rPr>
        <w:t xml:space="preserve">Partners lacking scale understanding: Biotech founders/CEOs often misunderstand AbbVie's global manufacturing, regulatory, and commercial requirements; leads to misaligned expectations post-deal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IP surprises: Has been burned by overlooked patent conflicts or regulatory exclusivity issues discovered mid-diligence; now requires ironclad IP due diligence upfront</w:t>
      </w:r>
      <w:r>
        <w:rPr>
          <w:rFonts w:ascii="Arial" w:cs="Arial" w:eastAsia="Arial" w:hAnsi="Arial"/>
          <w:sz w:val="24"/>
          <w:szCs w:val="24"/>
        </w:rPr>
        <w:t xml:space="preserve">IP surprises: Has been burned by overlooked patent conflicts or regulatory exclusivity issues discovered mid-diligence; now requires ironclad IP due diligence upfront</w:t>
      </w:r>
    </w:p>
    <w:p>
      <w:pPr>
        <w:spacing w:before="240" w:after="120"/>
      </w:pPr>
      <w:r>
        <w:t xml:space="preserve">8. What Gets Them Excited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8. What Gets Them Excited</w:t>
      </w:r>
    </w:p>
    <w:p>
      <w:pPr>
        <w:spacing w:before="120" w:after="80"/>
      </w:pPr>
      <w:r>
        <w:t xml:space="preserve">Despite challenges, Dr. Reinhardt is energized by specific deal characteristics and scientific breakthroughs that align with AbbVie's strategy.</w:t>
      </w:r>
      <w:r>
        <w:rPr>
          <w:rFonts w:ascii="Arial" w:cs="Arial" w:eastAsia="Arial" w:hAnsi="Arial"/>
          <w:sz w:val="24"/>
          <w:szCs w:val="24"/>
        </w:rPr>
        <w:t xml:space="preserve">Despite challenges, Dr. Reinhardt is energized by specific deal characteristics and scientific breakthroughs that align with AbbVie's strategy.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BBB crossing technology + clinical asset combos: The combination of proven delivery platform + clinical program (psychiatry or neurodegeneration) is the "holy grail" deal</w:t>
      </w:r>
      <w:r>
        <w:rPr>
          <w:rFonts w:ascii="Arial" w:cs="Arial" w:eastAsia="Arial" w:hAnsi="Arial"/>
          <w:sz w:val="24"/>
          <w:szCs w:val="24"/>
        </w:rPr>
        <w:t xml:space="preserve">BBB crossing technology + clinical asset combos: The combination of proven delivery platform + clinical program (psychiatry or neurodegeneration) is the "holy grail" deal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Clinical-stage psychiatry programs with novel MOA: Programs with clear differentiation (e.g., AMPA potentiators, M4 PAMs, rapid-acting agents) and Phase 2 data showing efficacy + safety</w:t>
      </w:r>
      <w:r>
        <w:rPr>
          <w:rFonts w:ascii="Arial" w:cs="Arial" w:eastAsia="Arial" w:hAnsi="Arial"/>
          <w:sz w:val="24"/>
          <w:szCs w:val="24"/>
        </w:rPr>
        <w:t xml:space="preserve">Clinical-stage psychiatry programs with novel MOA: Programs with clear differentiation (e.g., AMPA potentiators, M4 PAMs, rapid-acting agents) and Phase 2 data showing efficacy + safety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Platform technologies enabling multiple programs: Acquires platforms not for a single asset but for the ability to generate pipeline breadth (e.g., AAV platforms, BBB technologies)</w:t>
      </w:r>
      <w:r>
        <w:rPr>
          <w:rFonts w:ascii="Arial" w:cs="Arial" w:eastAsia="Arial" w:hAnsi="Arial"/>
          <w:sz w:val="24"/>
          <w:szCs w:val="24"/>
        </w:rPr>
        <w:t xml:space="preserve">Platform technologies enabling multiple programs: Acquires platforms not for a single asset but for the ability to generate pipeline breadth (e.g., AAV platforms, BBB technologies)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De-risked biology with clear commercial path: Assets with strong human genetic support, validated biomarkers, and differentiated positioning vs. competitors</w:t>
      </w:r>
      <w:r>
        <w:rPr>
          <w:rFonts w:ascii="Arial" w:cs="Arial" w:eastAsia="Arial" w:hAnsi="Arial"/>
          <w:sz w:val="24"/>
          <w:szCs w:val="24"/>
        </w:rPr>
        <w:t xml:space="preserve">De-risked biology with clear commercial path: Assets with strong human genetic support, validated biomarkers, and differentiated positioning vs. competitors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Option structures balancing risk/reward: Well-designed option deals with achievable milestones, clear decision gates, and aligned financial incentives</w:t>
      </w:r>
      <w:r>
        <w:rPr>
          <w:rFonts w:ascii="Arial" w:cs="Arial" w:eastAsia="Arial" w:hAnsi="Arial"/>
          <w:sz w:val="24"/>
          <w:szCs w:val="24"/>
        </w:rPr>
        <w:t xml:space="preserve">Option structures balancing risk/reward: Well-designed option deals with achievable milestones, clear decision gates, and aligned financial incentives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Speed to IND: Partners who can rapidly transition from option phase to IND-enabling studies; values execution excellence and timely data generation</w:t>
      </w:r>
      <w:r>
        <w:rPr>
          <w:rFonts w:ascii="Arial" w:cs="Arial" w:eastAsia="Arial" w:hAnsi="Arial"/>
          <w:sz w:val="24"/>
          <w:szCs w:val="24"/>
        </w:rPr>
        <w:t xml:space="preserve">Speed to IND: Partners who can rapidly transition from option phase to IND-enabling studies; values execution excellence and timely data generation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Experienced management teams: Founders/CEOs with prior successful exits, regulatory experience, or clinical validation in the target indication</w:t>
      </w:r>
      <w:r>
        <w:rPr>
          <w:rFonts w:ascii="Arial" w:cs="Arial" w:eastAsia="Arial" w:hAnsi="Arial"/>
          <w:sz w:val="24"/>
          <w:szCs w:val="24"/>
        </w:rPr>
        <w:t xml:space="preserve">Experienced management teams: Founders/CEOs with prior successful exits, regulatory experience, or clinical validation in the target indication</w:t>
      </w:r>
    </w:p>
    <w:p>
      <w:pPr>
        <w:spacing w:before="240" w:after="120"/>
      </w:pPr>
      <w:r>
        <w:t xml:space="preserve">9. How They Engage with Biotech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9. How They Engage with Biotech</w:t>
      </w:r>
    </w:p>
    <w:p>
      <w:pPr>
        <w:spacing w:before="120" w:after="80"/>
      </w:pPr>
      <w:r>
        <w:t xml:space="preserve">Dr. Reinhardt follows a structured engagement model with clear decision gates and disengagement triggers.</w:t>
      </w:r>
      <w:r>
        <w:rPr>
          <w:rFonts w:ascii="Arial" w:cs="Arial" w:eastAsia="Arial" w:hAnsi="Arial"/>
          <w:sz w:val="24"/>
          <w:szCs w:val="24"/>
        </w:rPr>
        <w:t xml:space="preserve">Dr. Reinhardt follows a structured engagement model with clear decision gates and disengagement triggers.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First meeting: Pitches commercial thesis, target market definition, competitive positioning, and differentiation. Wants a 20-minute commercial story, not a 60-minute data dump</w:t>
      </w:r>
      <w:r>
        <w:rPr>
          <w:rFonts w:ascii="Arial" w:cs="Arial" w:eastAsia="Arial" w:hAnsi="Arial"/>
          <w:sz w:val="24"/>
          <w:szCs w:val="24"/>
        </w:rPr>
        <w:t xml:space="preserve">First meeting: Pitches commercial thesis, target market definition, competitive positioning, and differentiation. Wants a 20-minute commercial story, not a 60-minute data dump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Second meeting: Deep scientific diligence with AbbVie's translational medicine and clinical pharmacology teams. Focuses on target validation, biomarker strategy, and competitive data</w:t>
      </w:r>
      <w:r>
        <w:rPr>
          <w:rFonts w:ascii="Arial" w:cs="Arial" w:eastAsia="Arial" w:hAnsi="Arial"/>
          <w:sz w:val="24"/>
          <w:szCs w:val="24"/>
        </w:rPr>
        <w:t xml:space="preserve">Second meeting: Deep scientific diligence with AbbVie's translational medicine and clinical pharmacology teams. Focuses on target validation, biomarker strategy, and competitive data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Third meeting: Deal structure, financial modeling, timeline to milestones, and team capabilities. Expects biotech partners to bring proposed term sheets</w:t>
      </w:r>
      <w:r>
        <w:rPr>
          <w:rFonts w:ascii="Arial" w:cs="Arial" w:eastAsia="Arial" w:hAnsi="Arial"/>
          <w:sz w:val="24"/>
          <w:szCs w:val="24"/>
        </w:rPr>
        <w:t xml:space="preserve">Third meeting: Deal structure, financial modeling, timeline to milestones, and team capabilities. Expects biotech partners to bring proposed term sheets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Uses AbbVie Ventures for early-stage/seed deals: If asset is pre-IND and highly speculative, may route through venture arm rather than corporate BD</w:t>
      </w:r>
      <w:r>
        <w:rPr>
          <w:rFonts w:ascii="Arial" w:cs="Arial" w:eastAsia="Arial" w:hAnsi="Arial"/>
          <w:sz w:val="24"/>
          <w:szCs w:val="24"/>
        </w:rPr>
        <w:t xml:space="preserve">Uses AbbVie Ventures for early-stage/seed deals: If asset is pre-IND and highly speculative, may route through venture arm rather than corporate BD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Disengagement triggers: (1) Peak sales &lt;$500M, (2) Data too early stage (no human genetic support), (3) Pitch too academic (e.g., mechanism studies without clinical validation), (4) Weak IP position</w:t>
      </w:r>
      <w:r>
        <w:rPr>
          <w:rFonts w:ascii="Arial" w:cs="Arial" w:eastAsia="Arial" w:hAnsi="Arial"/>
          <w:sz w:val="24"/>
          <w:szCs w:val="24"/>
        </w:rPr>
        <w:t xml:space="preserve">Disengagement triggers: (1) Peak sales &lt;$500M, (2) Data too early stage (no human genetic support), (3) Pitch too academic (e.g., mechanism studies without clinical validation), (4) Weak IP position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Documentation expectations: Requires non-binding term sheet, detailed data package, CMC overview, and IP landscape analysis within 2-3 weeks of initial meeting</w:t>
      </w:r>
      <w:r>
        <w:rPr>
          <w:rFonts w:ascii="Arial" w:cs="Arial" w:eastAsia="Arial" w:hAnsi="Arial"/>
          <w:sz w:val="24"/>
          <w:szCs w:val="24"/>
        </w:rPr>
        <w:t xml:space="preserve">Documentation expectations: Requires non-binding term sheet, detailed data package, CMC overview, and IP landscape analysis within 2-3 weeks of initial meeting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Board engagement: For mega-deals ($&gt;$500M), escalates to AbbVie Board Investment Committee; for strategic partnerships, presents quarterly to Executive Business Review</w:t>
      </w:r>
      <w:r>
        <w:rPr>
          <w:rFonts w:ascii="Arial" w:cs="Arial" w:eastAsia="Arial" w:hAnsi="Arial"/>
          <w:sz w:val="24"/>
          <w:szCs w:val="24"/>
        </w:rPr>
        <w:t xml:space="preserve">Board engagement: For mega-deals ($&gt;$500M), escalates to AbbVie Board Investment Committee; for strategic partnerships, presents quarterly to Executive Business Review</w:t>
      </w:r>
    </w:p>
    <w:p>
      <w:pPr>
        <w:spacing w:before="240" w:after="120"/>
      </w:pPr>
      <w:r>
        <w:t xml:space="preserve">10. Communication &amp; Negotiation Style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10. Communication &amp; Negotiation Style</w:t>
      </w:r>
    </w:p>
    <w:p>
      <w:pPr>
        <w:spacing w:before="120" w:after="80"/>
      </w:pPr>
      <w:r>
        <w:t xml:space="preserve">Dr. Reinhardt's communication style reflects his clinical training, consulting background, and corporate experience.</w:t>
      </w:r>
      <w:r>
        <w:rPr>
          <w:rFonts w:ascii="Arial" w:cs="Arial" w:eastAsia="Arial" w:hAnsi="Arial"/>
          <w:sz w:val="24"/>
          <w:szCs w:val="24"/>
        </w:rPr>
        <w:t xml:space="preserve">Dr. Reinhardt's communication style reflects his clinical training, consulting background, and corporate experience.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Direct and results-focused: Prefers concise, data-driven conversations over extended relationship-building. Respects time management and expects biotech partners to do the same</w:t>
      </w:r>
      <w:r>
        <w:rPr>
          <w:rFonts w:ascii="Arial" w:cs="Arial" w:eastAsia="Arial" w:hAnsi="Arial"/>
          <w:sz w:val="24"/>
          <w:szCs w:val="24"/>
        </w:rPr>
        <w:t xml:space="preserve">Direct and results-focused: Prefers concise, data-driven conversations over extended relationship-building. Respects time management and expects biotech partners to do the same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Financially literate: Comfortable discussing rNPV, IRR, payback period, and deal economics; expects biotech partners to understand valuation fundamentals</w:t>
      </w:r>
      <w:r>
        <w:rPr>
          <w:rFonts w:ascii="Arial" w:cs="Arial" w:eastAsia="Arial" w:hAnsi="Arial"/>
          <w:sz w:val="24"/>
          <w:szCs w:val="24"/>
        </w:rPr>
        <w:t xml:space="preserve">Financially literate: Comfortable discussing rNPV, IRR, payback period, and deal economics; expects biotech partners to understand valuation fundamentals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Execution-focused: Asks "How will we win?" and "What are the failure modes?" rather than abstract questions about MOA or pathway potential</w:t>
      </w:r>
      <w:r>
        <w:rPr>
          <w:rFonts w:ascii="Arial" w:cs="Arial" w:eastAsia="Arial" w:hAnsi="Arial"/>
          <w:sz w:val="24"/>
          <w:szCs w:val="24"/>
        </w:rPr>
        <w:t xml:space="preserve">Execution-focused: Asks "How will we win?" and "What are the failure modes?" rather than abstract questions about MOA or pathway potential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McKinsey-trained structured thinking: Presents arguments in SCQA format (Situation-Complication-Question-Answer); expects partners to do the same</w:t>
      </w:r>
      <w:r>
        <w:rPr>
          <w:rFonts w:ascii="Arial" w:cs="Arial" w:eastAsia="Arial" w:hAnsi="Arial"/>
          <w:sz w:val="24"/>
          <w:szCs w:val="24"/>
        </w:rPr>
        <w:t xml:space="preserve">McKinsey-trained structured thinking: Presents arguments in SCQA format (Situation-Complication-Question-Answer); expects partners to do the same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Low tolerance for ambiguity: Demands clear peak sales modeling, competitive positioning, and regulatory pathways; frustrated by vague statements like "best in class" or "first-in-class"</w:t>
      </w:r>
      <w:r>
        <w:rPr>
          <w:rFonts w:ascii="Arial" w:cs="Arial" w:eastAsia="Arial" w:hAnsi="Arial"/>
          <w:sz w:val="24"/>
          <w:szCs w:val="24"/>
        </w:rPr>
        <w:t xml:space="preserve">Low tolerance for ambiguity: Demands clear peak sales modeling, competitive positioning, and regulatory pathways; frustrated by vague statements like "best in class" or "first-in-class"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Negotiates firmly but fairly: Once term sheet is signed, honors the spirit of the agreement; but expects biotech partners to reciprocate with transparent milestone tracking and rapid data sharing</w:t>
      </w:r>
      <w:r>
        <w:rPr>
          <w:rFonts w:ascii="Arial" w:cs="Arial" w:eastAsia="Arial" w:hAnsi="Arial"/>
          <w:sz w:val="24"/>
          <w:szCs w:val="24"/>
        </w:rPr>
        <w:t xml:space="preserve">Negotiates firmly but fairly: Once term sheet is signed, honors the spirit of the agreement; but expects biotech partners to reciprocate with transparent milestone tracking and rapid data sharing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Values transparency: Appreciates honest conversations about scientific risks, regulatory hurdles, and manufacturing challenges; distrusts over-optimistic timelines</w:t>
      </w:r>
      <w:r>
        <w:rPr>
          <w:rFonts w:ascii="Arial" w:cs="Arial" w:eastAsia="Arial" w:hAnsi="Arial"/>
          <w:sz w:val="24"/>
          <w:szCs w:val="24"/>
        </w:rPr>
        <w:t xml:space="preserve">Values transparency: Appreciates honest conversations about scientific risks, regulatory hurdles, and manufacturing challenges; distrusts over-optimistic timelines</w:t>
      </w:r>
    </w:p>
    <w:p>
      <w:pPr>
        <w:spacing w:before="240" w:after="120"/>
      </w:pPr>
      <w:r>
        <w:t xml:space="preserve">11. Metrics They Track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11. Metrics They Track</w:t>
      </w:r>
    </w:p>
    <w:p>
      <w:pPr>
        <w:spacing w:before="120" w:after="80"/>
      </w:pPr>
      <w:r>
        <w:t xml:space="preserve">Dr. Reinhardt monitors a set of rigorous KPIs to assess BD performance and portfolio health.</w:t>
      </w:r>
      <w:r>
        <w:rPr>
          <w:rFonts w:ascii="Arial" w:cs="Arial" w:eastAsia="Arial" w:hAnsi="Arial"/>
          <w:sz w:val="24"/>
          <w:szCs w:val="24"/>
        </w:rPr>
        <w:t xml:space="preserve">Dr. Reinhardt monitors a set of rigorous KPIs to assess BD performance and portfolio health.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rNPV by program: Expected net present value of each asset adjusted for probability of success; targets rNPV:investment ratio &gt;2:1 for new deals</w:t>
      </w:r>
      <w:r>
        <w:rPr>
          <w:rFonts w:ascii="Arial" w:cs="Arial" w:eastAsia="Arial" w:hAnsi="Arial"/>
          <w:sz w:val="24"/>
          <w:szCs w:val="24"/>
        </w:rPr>
        <w:t xml:space="preserve">rNPV by program: Expected net present value of each asset adjusted for probability of success; targets rNPV:investment ratio &gt;2:1 for new deals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Time from target ID to IND: Tracks cycle time for partner organizations; average target is 18-24 months for optimal efficiency</w:t>
      </w:r>
      <w:r>
        <w:rPr>
          <w:rFonts w:ascii="Arial" w:cs="Arial" w:eastAsia="Arial" w:hAnsi="Arial"/>
          <w:sz w:val="24"/>
          <w:szCs w:val="24"/>
        </w:rPr>
        <w:t xml:space="preserve">Time from target ID to IND: Tracks cycle time for partner organizations; average target is 18-24 months for optimal efficiency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Phase 2 Proof of Concept (PoC) success rate: Monitors data quality and efficacy signals; targets &gt;60% Phase 2 to Phase 3 progression</w:t>
      </w:r>
      <w:r>
        <w:rPr>
          <w:rFonts w:ascii="Arial" w:cs="Arial" w:eastAsia="Arial" w:hAnsi="Arial"/>
          <w:sz w:val="24"/>
          <w:szCs w:val="24"/>
        </w:rPr>
        <w:t xml:space="preserve">Phase 2 Proof of Concept (PoC) success rate: Monitors data quality and efficacy signals; targets &gt;60% Phase 2 to Phase 3 progression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Capital efficiency per asset: Tracks total AbbVie investment (upfront + milestones) vs. peak sales forecast; aims for efficiency ratio &lt;30%</w:t>
      </w:r>
      <w:r>
        <w:rPr>
          <w:rFonts w:ascii="Arial" w:cs="Arial" w:eastAsia="Arial" w:hAnsi="Arial"/>
          <w:sz w:val="24"/>
          <w:szCs w:val="24"/>
        </w:rPr>
        <w:t xml:space="preserve">Capital efficiency per asset: Tracks total AbbVie investment (upfront + milestones) vs. peak sales forecast; aims for efficiency ratio &lt;30%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Cycle time reduction: Measures time from option agreement to Phase 3 initiation; targets 20% annual improvement vs. prior year</w:t>
      </w:r>
      <w:r>
        <w:rPr>
          <w:rFonts w:ascii="Arial" w:cs="Arial" w:eastAsia="Arial" w:hAnsi="Arial"/>
          <w:sz w:val="24"/>
          <w:szCs w:val="24"/>
        </w:rPr>
        <w:t xml:space="preserve">Cycle time reduction: Measures time from option agreement to Phase 3 initiation; targets 20% annual improvement vs. prior year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Deal IRR: Calculates internal rate of return for completed transactions; targets &gt;15% IRR for mid-stage deals</w:t>
      </w:r>
      <w:r>
        <w:rPr>
          <w:rFonts w:ascii="Arial" w:cs="Arial" w:eastAsia="Arial" w:hAnsi="Arial"/>
          <w:sz w:val="24"/>
          <w:szCs w:val="24"/>
        </w:rPr>
        <w:t xml:space="preserve">Deal IRR: Calculates internal rate of return for completed transactions; targets &gt;15% IRR for mid-stage deals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Milestone achievement rates: Tracks partner performance on agreed milestones; expects &gt;90% on-time delivery</w:t>
      </w:r>
      <w:r>
        <w:rPr>
          <w:rFonts w:ascii="Arial" w:cs="Arial" w:eastAsia="Arial" w:hAnsi="Arial"/>
          <w:sz w:val="24"/>
          <w:szCs w:val="24"/>
        </w:rPr>
        <w:t xml:space="preserve">Milestone achievement rates: Tracks partner performance on agreed milestones; expects &gt;90% on-time delivery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Portfolio diversification metrics: Ensures balanced spread across indication areas, modalities, and development stages; monitors concentration risk by MOA</w:t>
      </w:r>
      <w:r>
        <w:rPr>
          <w:rFonts w:ascii="Arial" w:cs="Arial" w:eastAsia="Arial" w:hAnsi="Arial"/>
          <w:sz w:val="24"/>
          <w:szCs w:val="24"/>
        </w:rPr>
        <w:t xml:space="preserve">Portfolio diversification metrics: Ensures balanced spread across indication areas, modalities, and development stages; monitors concentration risk by MOA</w:t>
      </w:r>
    </w:p>
    <w:p>
      <w:pPr>
        <w:spacing w:before="240" w:after="120"/>
      </w:pPr>
      <w:r>
        <w:t xml:space="preserve">12. Long-Term BD Vision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12. Long-Term BD Vision</w:t>
      </w:r>
    </w:p>
    <w:p>
      <w:pPr>
        <w:spacing w:before="120" w:after="80"/>
      </w:pPr>
      <w:r>
        <w:t xml:space="preserve">Dr. Reinhardt's vision for AbbVie's BD extends beyond the immediate Humira cliff to a transformed, innovation-powered enterprise.</w:t>
      </w:r>
      <w:r>
        <w:rPr>
          <w:rFonts w:ascii="Arial" w:cs="Arial" w:eastAsia="Arial" w:hAnsi="Arial"/>
          <w:sz w:val="24"/>
          <w:szCs w:val="24"/>
        </w:rPr>
        <w:t xml:space="preserve">Dr. Reinhardt's vision for AbbVie's BD extends beyond the immediate Humira cliff to a transformed, innovation-powered enterprise.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Build diversified neuroscience franchise: Establish AbbVie as a top-5 global neuro player through disciplined external innovation; target $10B+ annual neuroscience revenue by 2030</w:t>
      </w:r>
      <w:r>
        <w:rPr>
          <w:rFonts w:ascii="Arial" w:cs="Arial" w:eastAsia="Arial" w:hAnsi="Arial"/>
          <w:sz w:val="24"/>
          <w:szCs w:val="24"/>
        </w:rPr>
        <w:t xml:space="preserve">Build diversified neuroscience franchise: Establish AbbVie as a top-5 global neuro player through disciplined external innovation; target $10B+ annual neuroscience revenue by 2030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Offset Humira cliff with next-gen pipeline: Transition $20B from immunology to neuroscience, women's health, and oncology; neuroscience should be 40%+ of pipeline by 2028</w:t>
      </w:r>
      <w:r>
        <w:rPr>
          <w:rFonts w:ascii="Arial" w:cs="Arial" w:eastAsia="Arial" w:hAnsi="Arial"/>
          <w:sz w:val="24"/>
          <w:szCs w:val="24"/>
        </w:rPr>
        <w:t xml:space="preserve">Offset Humira cliff with next-gen pipeline: Transition $20B from immunology to neuroscience, women's health, and oncology; neuroscience should be 40%+ of pipeline by 2028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Balance acquisition with partnership ecosystem: Rather than mega-acquisitions, prefer "network of partnerships" model; 70% partnerships, 30% acquisitions</w:t>
      </w:r>
      <w:r>
        <w:rPr>
          <w:rFonts w:ascii="Arial" w:cs="Arial" w:eastAsia="Arial" w:hAnsi="Arial"/>
          <w:sz w:val="24"/>
          <w:szCs w:val="24"/>
        </w:rPr>
        <w:t xml:space="preserve">Balance acquisition with partnership ecosystem: Rather than mega-acquisitions, prefer "network of partnerships" model; 70% partnerships, 30% acquisitions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Enterprise-scale AI integration: Deploy machine learning for deal intelligence, target identification, and partner performance prediction; invest in proprietary data analytics (ARCH 2.0)</w:t>
      </w:r>
      <w:r>
        <w:rPr>
          <w:rFonts w:ascii="Arial" w:cs="Arial" w:eastAsia="Arial" w:hAnsi="Arial"/>
          <w:sz w:val="24"/>
          <w:szCs w:val="24"/>
        </w:rPr>
        <w:t xml:space="preserve">Enterprise-scale AI integration: Deploy machine learning for deal intelligence, target identification, and partner performance prediction; invest in proprietary data analytics (ARCH 2.0)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Position AbbVie as preferred partner: Establish reputation for fair dealing, transparent milestones, and execution excellence; become the most attractive partner for top biotech founders</w:t>
      </w:r>
      <w:r>
        <w:rPr>
          <w:rFonts w:ascii="Arial" w:cs="Arial" w:eastAsia="Arial" w:hAnsi="Arial"/>
          <w:sz w:val="24"/>
          <w:szCs w:val="24"/>
        </w:rPr>
        <w:t xml:space="preserve">Position AbbVie as preferred partner: Establish reputation for fair dealing, transparent milestones, and execution excellence; become the most attractive partner for top biotech founders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Accelerate regulatory/commercial timelines: Invest in global manufacturing, regulatory strategy, and commercial infrastructure to compress cycle times by 25% vs. competitors</w:t>
      </w:r>
      <w:r>
        <w:rPr>
          <w:rFonts w:ascii="Arial" w:cs="Arial" w:eastAsia="Arial" w:hAnsi="Arial"/>
          <w:sz w:val="24"/>
          <w:szCs w:val="24"/>
        </w:rPr>
        <w:t xml:space="preserve">Accelerate regulatory/commercial timelines: Invest in global manufacturing, regulatory strategy, and commercial infrastructure to compress cycle times by 25% vs. competitors</w:t>
      </w:r>
    </w:p>
    <w:p>
      <w:pPr>
        <w:pStyle w:val="ListParagraph"/>
        <w:numPr>
          <w:ilvl w:val="0"/>
          <w:numId w:val="1"/>
        </w:numPr>
        <w:spacing w:before="60" w:after="60" w:line="360"/>
        <w:ind w:left="360" w:hanging="360"/>
      </w:pPr>
      <w:r>
        <w:t xml:space="preserve">Build platform capabilities: Acquire or develop proprietary platforms (BBB, gene therapy, mRNA) to enable multiple programs and increase portfolio density</w:t>
      </w:r>
      <w:r>
        <w:rPr>
          <w:rFonts w:ascii="Arial" w:cs="Arial" w:eastAsia="Arial" w:hAnsi="Arial"/>
          <w:sz w:val="24"/>
          <w:szCs w:val="24"/>
        </w:rPr>
        <w:t xml:space="preserve">Build platform capabilities: Acquire or develop proprietary platforms (BBB, gene therapy, mRNA) to enable multiple programs and increase portfolio density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2026-02-18T13:36:48.195Z</dcterms:created>
  <dcterms:modified xsi:type="dcterms:W3CDTF">2026-02-18T13:36:48.196Z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