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50" w:line="240"/>
        <w:jc w:val="center"/>
      </w:pPr>
      <w:r>
        <w:t xml:space="preserve">Alnylam Pharmaceuticals: SVP, Corporate Development &amp; Strategy</w:t>
      </w:r>
    </w:p>
    <w:p>
      <w:pPr>
        <w:pStyle w:val="Heading2"/>
        <w:spacing w:before="300" w:after="150" w:line="240"/>
        <w:jc w:val="left"/>
      </w:pPr>
      <w:r>
        <w:t xml:space="preserve">Persona: Dr. Evan Rourke, PhD, MBA</w:t>
      </w:r>
    </w:p>
    <w:p>
      <w:pPr>
        <w:spacing w:after="400" w:line="240"/>
        <w:jc w:val="center"/>
      </w:pPr>
      <w:r>
        <w:t xml:space="preserve">Location: Cambridge, MA</w:t>
      </w:r>
    </w:p>
    <w:p>
      <w:pPr>
        <w:pStyle w:val="Heading2"/>
        <w:spacing w:before="300" w:after="150" w:line="240"/>
        <w:jc w:val="left"/>
      </w:pPr>
      <w:r>
        <w:t xml:space="preserve">1. Core Identity &amp; BD Philosophy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Platform company in transition from 'build it all internally' to 'selective external innovation'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Well-capitalized with $2.8B in cash reserves; recently achieved profitability in 2025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Alnylam 2030 strategy targets ~30% of revenues reinvested into R&amp;D (including external innovation)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Disciplined scaling approach with RNAi-centric platform but open to complementary delivery technologies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NOT pursuing major M&amp;A; instead focused on selective licensing and strategic partnerships</w:t>
      </w:r>
    </w:p>
    <w:p>
      <w:pPr>
        <w:pStyle w:val="Heading2"/>
        <w:spacing w:before="300" w:after="150" w:line="240"/>
        <w:jc w:val="left"/>
      </w:pPr>
      <w:r>
        <w:t xml:space="preserve">2. Alignment with Alnylam BD Strategy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Co-development/co-commercialization model exemplified by Roche partnership (50/50 U.S. profit share, $310M upfront)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Platform licensing with equity components (Regeneron: $400M equity + discovery funding model)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Royalty-bearing outbound licenses to scale reach (partnerships with Sanofi, Novartis established)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2-2-5 tissue expansion goals: 2 adipose programs, 2 muscle programs, 5 additional tissue targets (heart, kidney, CNS leadership)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First profitable year achieved in 2025; now balancing growth investment with shareholder returns</w:t>
      </w:r>
    </w:p>
    <w:p>
      <w:pPr>
        <w:pStyle w:val="Heading2"/>
        <w:spacing w:before="300" w:after="150" w:line="240"/>
        <w:jc w:val="left"/>
      </w:pPr>
      <w:r>
        <w:t xml:space="preserve">3. Professional Background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PhD in molecular biology with pharmacology specialization; MBA from Wharton/Harvard/MIT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15+ years of BD and licensing experience at top-tier pharma (Takeda, AstraZeneca, Novartis)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Deep expertise in platform licensing economics and valuation of RNAi technology portfolios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Extensive experience structuring complex co-development and co-commercialization agreements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Track record negotiating $200M-$1B+ deals; comfortable with sophisticated risk-sharing models</w:t>
      </w:r>
    </w:p>
    <w:p>
      <w:pPr>
        <w:pStyle w:val="Heading2"/>
        <w:spacing w:before="300" w:after="150" w:line="240"/>
        <w:jc w:val="left"/>
      </w:pPr>
      <w:r>
        <w:t xml:space="preserve">4. Strategic BD Priorities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CNS delivery leadership: ALN-APP (Alzheimer's) and ALN-HTT02 (Huntington's) via Regeneron partnership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Tissue expansion beyond liver: adipose, muscle, heart, kidney programs in development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Metabolic and obesity space expansion (ALN-2232 for APOC3, ALN-4324 for obesity programs)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Selective in-licensing of complementary delivery technologies that extend RNAi platform capability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Strategic out-licensing to generate upfront capital and fund high-priority internal programs</w:t>
      </w:r>
    </w:p>
    <w:p>
      <w:pPr>
        <w:pStyle w:val="Heading2"/>
        <w:spacing w:before="300" w:after="150" w:line="240"/>
        <w:jc w:val="left"/>
      </w:pPr>
      <w:r>
        <w:t xml:space="preserve">5. Decision-Making Framework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Scientific fit: Genetic validation of target via Paradigm4 genomic data; peer-reviewed evidence required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Risk/reward balance: Partnerships for high-risk, high-reward programs; internal development for validated programs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Strategic fit with 2-2-5 tissue expansion goals; prioritizes programs addressing unmet medical needs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Financial discipline: Milestone affordability, ROI expectations vs. 30% margin targets, cash runway impact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Integration complexity: Prefers partnerships that leverage existing infrastructure; low diversion from core focus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Platform synergy: Technologies that extend RNAi to new tissues or improve delivery get priority scoring</w:t>
      </w:r>
    </w:p>
    <w:p>
      <w:pPr>
        <w:pStyle w:val="Heading2"/>
        <w:spacing w:before="300" w:after="150" w:line="240"/>
        <w:jc w:val="left"/>
      </w:pPr>
      <w:r>
        <w:t xml:space="preserve">6. View on Deal Structures &amp; Partnerships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Prefers co-development with large pharma partners for blockbuster-potential programs; shared risk model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$300M-$1B upfront capital typical for major outbound licensing; milestone-driven with cost-sharing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Avoids high back-loaded royalty structures (views Sanofi 30% escalation deal as cautionary tale)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Values equity stakes in partners as long-term alignment mechanism and strategic signaling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Upfront capital focus for funding internal expansion; will out-license to maintain financial flexibility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Non-exclusive vs. exclusive licensing: Non-exclusive preferred for platform tech; exclusive for specific programs</w:t>
      </w:r>
    </w:p>
    <w:p>
      <w:pPr>
        <w:pStyle w:val="Heading2"/>
        <w:spacing w:before="300" w:after="150" w:line="240"/>
        <w:jc w:val="left"/>
      </w:pPr>
      <w:r>
        <w:t xml:space="preserve">7. Pain Points &amp; Frustrations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Sanofi deal's high 30% royalty escalation serves as cautionary example of over-committed economics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Partner opt-out risk: Regeneron's potential exercise of platform opt-out threatens ALN-APP program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RNAi-only strategy perception limiting partnership interest from companies seeking diverse modality access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Liver-centric platform perception remains challenge despite tissue expansion efforts and data generation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Difficulty proving value of platform licensing vs. single asset licensing in partner discussions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Intense competition for CNS delivery solutions space; multiple modalities pursuing brain penetration</w:t>
      </w:r>
    </w:p>
    <w:p>
      <w:pPr>
        <w:pStyle w:val="Heading2"/>
        <w:spacing w:before="300" w:after="150" w:line="240"/>
        <w:jc w:val="left"/>
      </w:pPr>
      <w:r>
        <w:t xml:space="preserve">8. What Gets Them Excited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Novel tissue delivery technologies enabling extrahepatic RNAi applications; scientifically validated approaches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CNS-penetrating delivery platforms that overcome blood-brain barrier challenges for genetic medicines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Genetic validation of new disease targets via population genetics data; GWAS-identified validation compelling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Co-development structures with shared economics and aligned incentives; mutual upside participation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Technologies extending RNAi applicability to muscle, CNS, or difficult-to-transfect tissues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Data demonstrating clinical translation of genetically validated targets; proof-of-concept in humans preferred</w:t>
      </w:r>
    </w:p>
    <w:p>
      <w:pPr>
        <w:pStyle w:val="Heading2"/>
        <w:spacing w:before="300" w:after="150" w:line="240"/>
        <w:jc w:val="left"/>
      </w:pPr>
      <w:r>
        <w:t xml:space="preserve">9. How They Engage with Biotech Partners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First meeting: Rapid assessment of platform synergy and RNAi relevance; 20-30 minute filter conversation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Second meeting: Scientific deep-dive with CSO Kevin Sloan; presentation of mechanism, preclinical data, target validation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Third meeting: Deal economics and structure discussion; financial modeling and milestone scenarios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Values long-term partnerships over transactional deals; prefers multi-program relationships with strategic depth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Careful evaluation of exclusive vs. non-exclusive access; protective of core platform but pragmatic on specific programs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Slow, methodical process: expects 2-3 month evaluation cycle before decision; no rushing to close</w:t>
      </w:r>
    </w:p>
    <w:p>
      <w:pPr>
        <w:pStyle w:val="Heading2"/>
        <w:spacing w:before="300" w:after="150" w:line="240"/>
        <w:jc w:val="left"/>
      </w:pPr>
      <w:r>
        <w:t xml:space="preserve">10. Communication &amp; Negotiation Style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Scientifically sophisticated: Speaks in detail about mechanisms, targets, and delivery science; no oversimplification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Platform-first thinking: Evaluates every opportunity through lens of extending RNAi platform capability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Disciplined on economics: Drives hard bargains on pricing; uses benchmarks and precedent deals as anchors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Patient negotiator with no artificial rush: Can walk away cleanly if deal doesn't fit financial parameters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Values scientific credibility of partner team: Questions unpublished claims; prefers peer-reviewed validation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Prefers data-driven discussions: Bring clear evidence, regulatory pathways, and clinical development rationale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Will walk away from deals that don't fit platform strategy; respects his time and won't pursue poor cultural fit</w:t>
      </w:r>
    </w:p>
    <w:p>
      <w:pPr>
        <w:pStyle w:val="Heading2"/>
        <w:spacing w:before="300" w:after="150" w:line="240"/>
        <w:jc w:val="left"/>
      </w:pPr>
      <w:r>
        <w:t xml:space="preserve">11. Metrics They Track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Platform expansion milestones: Programs launched in new tissue targets vs. 2-2-5 goal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Partnership revenue contribution: % of annual revenue from co-development, co-commercialization partners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R&amp;D spend vs. 30% target: Annual tracking against Alnylam 2030 strategic goal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Milestone achievement rates: % of earned partnership milestones on pace vs. internal forecasts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CNS program progression: Regulatory and clinical progress on ALN-APP, ALN-HTT02 partnerships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Out-licensing royalty income: Annual revenue generated from platform and program licensing deals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Cash runway: Months of operational cash on hand; important given transition to profitability phase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Operating margin trajectory: Path to sustainable profitability at 30%+ margins by 2030</w:t>
      </w:r>
    </w:p>
    <w:p>
      <w:pPr>
        <w:pStyle w:val="Heading2"/>
        <w:spacing w:before="300" w:after="150" w:line="240"/>
        <w:jc w:val="left"/>
      </w:pPr>
      <w:r>
        <w:t xml:space="preserve">12. Long-Term BD Vision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Transform Alnylam from liver-focused RNAi company to multi-tissue genetic medicines leader by 2030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Build selective partnership ecosystem with large pharma for co-development and co-commercialization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Achieve $4B+ revenue by 2030 through combination of internal product growth and partnered program contributions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Establish RNAi as dominant genetic medicine modality for monogenic and complex disease targets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Enable CNS breakthroughs through delivery innovation partnerships; position Alnylam as RNAi leader in brain diseases</w:t>
      </w:r>
    </w:p>
    <w:p>
      <w:pPr>
        <w:pStyle w:val="ListParagraph"/>
        <w:pStyle w:val="List Bullet"/>
        <w:numPr>
          <w:ilvl w:val="0"/>
          <w:numId w:val="1"/>
        </w:numPr>
        <w:spacing w:after="120" w:line="240"/>
        <w:ind w:left="720" w:hanging="360"/>
      </w:pPr>
      <w:r>
        <w:t xml:space="preserve">Maintain capital discipline and selective M&amp;A approach while maximizing partnership value creation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2026-02-18T13:37:44.300Z</dcterms:created>
  <dcterms:modified xsi:type="dcterms:W3CDTF">2026-02-18T13:37:44.300Z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