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BMS BD SVP Persona</w:t>
      </w:r>
    </w:p>
    <w:p>
      <w:pPr>
        <w:pStyle w:val="Heading2"/>
        <w:jc w:val="center"/>
      </w:pPr>
      <w:r>
        <w:t xml:space="preserve">Dr. Paul Hargrove, MBA</w:t>
      </w:r>
    </w:p>
    <w:p>
      <w:pPr>
        <w:jc w:val="center"/>
      </w:pPr>
      <w:r>
        <w:t xml:space="preserve">SVP, Strategy &amp; Business Development</w:t>
      </w:r>
    </w:p>
    <w:p>
      <w:pPr>
        <w:jc w:val="center"/>
      </w:pPr>
      <w:r>
        <w:t xml:space="preserve">Princeton, NJ</w:t>
      </w:r>
    </w:p>
    <w:p/>
    <w:p>
      <w:pPr>
        <w:pStyle w:val="Heading2"/>
      </w:pPr>
      <w:r>
        <w:t xml:space="preserve">1. Core Identity &amp; BD Philosophy</w:t>
      </w:r>
    </w:p>
    <w:p>
      <w:r>
        <w:t xml:space="preserve">BMS operates as the 'center of the biotech ecosystem,' leveraging deep collaborations to drive innovation and growth. Paul's philosophy is rooted in transformational partnership strategy.</w:t>
      </w:r>
    </w:p>
    <w:p>
      <w:pPr>
        <w:pStyle w:val="ListParagraph"/>
        <w:numPr>
          <w:ilvl w:val="0"/>
          <w:numId w:val="1"/>
        </w:numPr>
      </w:pPr>
      <w:r>
        <w:rPr>
          <w:rFonts w:ascii="Arial" w:cs="Arial" w:eastAsia="Arial" w:hAnsi="Arial"/>
          <w:b/>
          <w:bCs/>
          <w:sz w:val="24"/>
          <w:szCs w:val="24"/>
        </w:rPr>
        <w:t xml:space="preserve">20 of 23 leading transformational medicines</w:t>
      </w:r>
      <w:r>
        <w:rPr>
          <w:rFonts w:ascii="Arial" w:cs="Arial" w:eastAsia="Arial" w:hAnsi="Arial"/>
          <w:sz w:val="24"/>
          <w:szCs w:val="24"/>
        </w:rPr>
        <w:t xml:space="preserve"> sourced from collaborations</w:t>
      </w:r>
    </w:p>
    <w:p>
      <w:pPr>
        <w:pStyle w:val="ListParagraph"/>
        <w:numPr>
          <w:ilvl w:val="0"/>
          <w:numId w:val="1"/>
        </w:numPr>
      </w:pPr>
      <w:r>
        <w:rPr>
          <w:rFonts w:ascii="Arial" w:cs="Arial" w:eastAsia="Arial" w:hAnsi="Arial"/>
          <w:b/>
          <w:bCs/>
          <w:sz w:val="24"/>
          <w:szCs w:val="24"/>
        </w:rPr>
        <w:t xml:space="preserve">&gt;60% of pipeline</w:t>
      </w:r>
      <w:r>
        <w:rPr>
          <w:rFonts w:ascii="Arial" w:cs="Arial" w:eastAsia="Arial" w:hAnsi="Arial"/>
          <w:sz w:val="24"/>
          <w:szCs w:val="24"/>
        </w:rPr>
        <w:t xml:space="preserve"> externally sourced; maintains innovation velocity without overextending R&amp;D</w:t>
      </w:r>
    </w:p>
    <w:p>
      <w:pPr>
        <w:pStyle w:val="ListParagraph"/>
        <w:numPr>
          <w:ilvl w:val="0"/>
          <w:numId w:val="1"/>
        </w:numPr>
      </w:pPr>
      <w:r>
        <w:rPr>
          <w:rFonts w:ascii="Arial" w:cs="Arial" w:eastAsia="Arial" w:hAnsi="Arial"/>
          <w:b/>
          <w:bCs/>
          <w:sz w:val="24"/>
          <w:szCs w:val="24"/>
        </w:rPr>
        <w:t xml:space="preserve">75+ active partnerships</w:t>
      </w:r>
      <w:r>
        <w:rPr>
          <w:rFonts w:ascii="Arial" w:cs="Arial" w:eastAsia="Arial" w:hAnsi="Arial"/>
          <w:sz w:val="24"/>
          <w:szCs w:val="24"/>
        </w:rPr>
        <w:t xml:space="preserve"> across geographies and therapeutic areas</w:t>
      </w:r>
    </w:p>
    <w:p>
      <w:pPr>
        <w:pStyle w:val="ListParagraph"/>
        <w:numPr>
          <w:ilvl w:val="0"/>
          <w:numId w:val="1"/>
        </w:numPr>
      </w:pPr>
      <w:r>
        <w:rPr>
          <w:rFonts w:ascii="Arial" w:cs="Arial" w:eastAsia="Arial" w:hAnsi="Arial"/>
          <w:b/>
          <w:bCs/>
          <w:sz w:val="24"/>
          <w:szCs w:val="24"/>
        </w:rPr>
        <w:t xml:space="preserve">$30B in deals over past 2 years</w:t>
      </w:r>
      <w:r>
        <w:rPr>
          <w:rFonts w:ascii="Arial" w:cs="Arial" w:eastAsia="Arial" w:hAnsi="Arial"/>
          <w:sz w:val="24"/>
          <w:szCs w:val="24"/>
        </w:rPr>
        <w:t xml:space="preserve"> demonstrates capital deployment commitment</w:t>
      </w:r>
    </w:p>
    <w:p>
      <w:r>
        <w:t xml:space="preserve">Core BD Principles:</w:t>
      </w:r>
    </w:p>
    <w:p>
      <w:pPr>
        <w:pStyle w:val="ListParagraph"/>
        <w:numPr>
          <w:ilvl w:val="0"/>
          <w:numId w:val="1"/>
        </w:numPr>
      </w:pPr>
      <w:r>
        <w:t xml:space="preserve">Speed, transparency, flexibility, and creativity in deal structures. Rejects one-size-fits-all approaches; every partnership is customized to partner's needs and stage.</w:t>
      </w:r>
    </w:p>
    <w:p>
      <w:pPr>
        <w:pStyle w:val="ListParagraph"/>
        <w:numPr>
          <w:ilvl w:val="0"/>
          <w:numId w:val="1"/>
        </w:numPr>
      </w:pPr>
      <w:r>
        <w:rPr>
          <w:rFonts w:ascii="Arial" w:cs="Arial" w:eastAsia="Arial" w:hAnsi="Arial"/>
          <w:b/>
          <w:bCs/>
          <w:sz w:val="24"/>
          <w:szCs w:val="24"/>
        </w:rPr>
        <w:t xml:space="preserve">CEO Boerner's mandate:</w:t>
      </w:r>
      <w:r>
        <w:rPr>
          <w:rFonts w:ascii="Arial" w:cs="Arial" w:eastAsia="Arial" w:hAnsi="Arial"/>
          <w:sz w:val="24"/>
          <w:szCs w:val="24"/>
        </w:rPr>
        <w:t xml:space="preserve"> BD is a 'top priority' for capital allocation, signaling enterprise-wide commitment to partnership excellence</w:t>
      </w:r>
    </w:p>
    <w:p/>
    <w:p>
      <w:pPr>
        <w:pStyle w:val="Heading2"/>
      </w:pPr>
      <w:r>
        <w:t xml:space="preserve">2. Alignment with BMS BD Strategy</w:t>
      </w:r>
    </w:p>
    <w:p>
      <w:r>
        <w:t xml:space="preserve">Paul's vision is firmly anchored in BMS's recent strategic acquisitions and partnerships, particularly in neuroscience—CEO Riley's declared 'renaissance of neuroscience R&amp;D' at BMS.</w:t>
      </w:r>
    </w:p>
    <w:p>
      <w:pPr>
        <w:pStyle w:val="ListParagraph"/>
        <w:numPr>
          <w:ilvl w:val="0"/>
          <w:numId w:val="1"/>
        </w:numPr>
      </w:pPr>
      <w:r>
        <w:rPr>
          <w:rFonts w:ascii="Arial" w:cs="Arial" w:eastAsia="Arial" w:hAnsi="Arial"/>
          <w:b/>
          <w:bCs/>
          <w:sz w:val="24"/>
          <w:szCs w:val="24"/>
        </w:rPr>
        <w:t xml:space="preserve">Karuna acquisition ($14B for Cobenfy)</w:t>
      </w:r>
      <w:r>
        <w:rPr>
          <w:rFonts w:ascii="Arial" w:cs="Arial" w:eastAsia="Arial" w:hAnsi="Arial"/>
          <w:sz w:val="24"/>
          <w:szCs w:val="24"/>
        </w:rPr>
        <w:t xml:space="preserve"> – flagship schizophrenia asset; Paul views this as transformational for psychosis, agitation, and expanding indications (Alzheimer's psychosis, bipolar, ASD). Expects multi-billion franchise.</w:t>
      </w:r>
    </w:p>
    <w:p>
      <w:pPr>
        <w:pStyle w:val="ListParagraph"/>
        <w:numPr>
          <w:ilvl w:val="0"/>
          <w:numId w:val="1"/>
        </w:numPr>
      </w:pPr>
      <w:r>
        <w:rPr>
          <w:rFonts w:ascii="Arial" w:cs="Arial" w:eastAsia="Arial" w:hAnsi="Arial"/>
          <w:b/>
          <w:bCs/>
          <w:sz w:val="24"/>
          <w:szCs w:val="24"/>
        </w:rPr>
        <w:t xml:space="preserve">BioArctic acquisition ($1.35B for pyroglutamate-amyloid-beta)</w:t>
      </w:r>
      <w:r>
        <w:rPr>
          <w:rFonts w:ascii="Arial" w:cs="Arial" w:eastAsia="Arial" w:hAnsi="Arial"/>
          <w:sz w:val="24"/>
          <w:szCs w:val="24"/>
        </w:rPr>
        <w:t xml:space="preserve"> – pure-play anti-amyloid antibody approach for Alzheimer's</w:t>
      </w:r>
    </w:p>
    <w:p>
      <w:pPr>
        <w:pStyle w:val="ListParagraph"/>
        <w:numPr>
          <w:ilvl w:val="0"/>
          <w:numId w:val="1"/>
        </w:numPr>
      </w:pPr>
      <w:r>
        <w:rPr>
          <w:rFonts w:ascii="Arial" w:cs="Arial" w:eastAsia="Arial" w:hAnsi="Arial"/>
          <w:b/>
          <w:bCs/>
          <w:sz w:val="24"/>
          <w:szCs w:val="24"/>
        </w:rPr>
        <w:t xml:space="preserve">Prothena partnerships</w:t>
      </w:r>
      <w:r>
        <w:rPr>
          <w:rFonts w:ascii="Arial" w:cs="Arial" w:eastAsia="Arial" w:hAnsi="Arial"/>
          <w:sz w:val="24"/>
          <w:szCs w:val="24"/>
        </w:rPr>
        <w:t xml:space="preserve"> (PRX005 anti-tau, PRX019) – next-frontier anti-tau therapeutics</w:t>
      </w:r>
    </w:p>
    <w:p>
      <w:pPr>
        <w:pStyle w:val="ListParagraph"/>
        <w:numPr>
          <w:ilvl w:val="0"/>
          <w:numId w:val="1"/>
        </w:numPr>
      </w:pPr>
      <w:r>
        <w:rPr>
          <w:rFonts w:ascii="Arial" w:cs="Arial" w:eastAsia="Arial" w:hAnsi="Arial"/>
          <w:b/>
          <w:bCs/>
          <w:sz w:val="24"/>
          <w:szCs w:val="24"/>
        </w:rPr>
        <w:t xml:space="preserve">Evotec neuroscience collaboration (8-year)</w:t>
      </w:r>
      <w:r>
        <w:rPr>
          <w:rFonts w:ascii="Arial" w:cs="Arial" w:eastAsia="Arial" w:hAnsi="Arial"/>
          <w:sz w:val="24"/>
          <w:szCs w:val="24"/>
        </w:rPr>
        <w:t xml:space="preserve"> – long-term discovery engine for novel neuroimmunology targets</w:t>
      </w:r>
    </w:p>
    <w:p>
      <w:pPr>
        <w:pStyle w:val="ListParagraph"/>
        <w:numPr>
          <w:ilvl w:val="0"/>
          <w:numId w:val="1"/>
        </w:numPr>
      </w:pPr>
      <w:r>
        <w:rPr>
          <w:rFonts w:ascii="Arial" w:cs="Arial" w:eastAsia="Arial" w:hAnsi="Arial"/>
          <w:b/>
          <w:bCs/>
          <w:sz w:val="24"/>
          <w:szCs w:val="24"/>
        </w:rPr>
        <w:t xml:space="preserve">Schrödinger ($2.7B for computational chemistry)</w:t>
      </w:r>
      <w:r>
        <w:rPr>
          <w:rFonts w:ascii="Arial" w:cs="Arial" w:eastAsia="Arial" w:hAnsi="Arial"/>
          <w:sz w:val="24"/>
          <w:szCs w:val="24"/>
        </w:rPr>
        <w:t xml:space="preserve"> – AI-driven drug discovery to accelerate lead optimization</w:t>
      </w:r>
    </w:p>
    <w:p>
      <w:r>
        <w:t xml:space="preserve">Strategic Posture: 'Cast a broad net' for growth. Neuroscience as major pillar alongside oncology and immunology. Offset patent cliff with high-impact transformational deals.</w:t>
      </w:r>
    </w:p>
    <w:p/>
    <w:p>
      <w:pPr>
        <w:pStyle w:val="Heading2"/>
      </w:pPr>
      <w:r>
        <w:t xml:space="preserve">3. Professional Background</w:t>
      </w:r>
    </w:p>
    <w:p>
      <w:pPr>
        <w:pStyle w:val="ListParagraph"/>
        <w:numPr>
          <w:ilvl w:val="0"/>
          <w:numId w:val="1"/>
        </w:numPr>
      </w:pPr>
      <w:r>
        <w:rPr>
          <w:rFonts w:ascii="Arial" w:cs="Arial" w:eastAsia="Arial" w:hAnsi="Arial"/>
          <w:b/>
          <w:bCs/>
          <w:sz w:val="24"/>
          <w:szCs w:val="24"/>
        </w:rPr>
        <w:t xml:space="preserve">Education:</w:t>
      </w:r>
    </w:p>
    <w:p>
      <w:pPr>
        <w:pStyle w:val="ListParagraph"/>
        <w:numPr>
          <w:ilvl w:val="1"/>
          <w:numId w:val="1"/>
        </w:numPr>
      </w:pPr>
      <w:r>
        <w:t xml:space="preserve">MBA, Kellogg School of Management, Northwestern University</w:t>
      </w:r>
    </w:p>
    <w:p>
      <w:pPr>
        <w:pStyle w:val="ListParagraph"/>
        <w:numPr>
          <w:ilvl w:val="1"/>
          <w:numId w:val="1"/>
        </w:numPr>
      </w:pPr>
      <w:r>
        <w:t xml:space="preserve">BA, Government &amp; Economics, Dartmouth College</w:t>
      </w:r>
    </w:p>
    <w:p>
      <w:pPr>
        <w:pStyle w:val="ListParagraph"/>
        <w:numPr>
          <w:ilvl w:val="0"/>
          <w:numId w:val="1"/>
        </w:numPr>
      </w:pPr>
      <w:r>
        <w:rPr>
          <w:rFonts w:ascii="Arial" w:cs="Arial" w:eastAsia="Arial" w:hAnsi="Arial"/>
          <w:b/>
          <w:bCs/>
          <w:sz w:val="24"/>
          <w:szCs w:val="24"/>
        </w:rPr>
        <w:t xml:space="preserve">Career Trajectory:</w:t>
      </w:r>
    </w:p>
    <w:p>
      <w:pPr>
        <w:pStyle w:val="ListParagraph"/>
        <w:numPr>
          <w:ilvl w:val="1"/>
          <w:numId w:val="1"/>
        </w:numPr>
      </w:pPr>
      <w:r>
        <w:t xml:space="preserve">9 years as Management Consultant, McKinsey &amp; Company (strategy, operations, pharma/biotech focus)</w:t>
      </w:r>
    </w:p>
    <w:p>
      <w:pPr>
        <w:pStyle w:val="ListParagraph"/>
        <w:numPr>
          <w:ilvl w:val="1"/>
          <w:numId w:val="1"/>
        </w:numPr>
      </w:pPr>
      <w:r>
        <w:t xml:space="preserve">17 years at Bristol-Myers Squibb:</w:t>
      </w:r>
    </w:p>
    <w:p>
      <w:pPr>
        <w:pStyle w:val="ListParagraph"/>
        <w:numPr>
          <w:ilvl w:val="2"/>
          <w:numId w:val="1"/>
        </w:numPr>
      </w:pPr>
      <w:r>
        <w:t xml:space="preserve">Early career: R&amp;D Operations Manager → Portfolio Manager</w:t>
      </w:r>
    </w:p>
    <w:p>
      <w:pPr>
        <w:pStyle w:val="ListParagraph"/>
        <w:numPr>
          <w:ilvl w:val="2"/>
          <w:numId w:val="1"/>
        </w:numPr>
      </w:pPr>
      <w:r>
        <w:t xml:space="preserve">Mid-career: VP, Strategy &amp; Operations (cross-functional)</w:t>
      </w:r>
    </w:p>
    <w:p>
      <w:pPr>
        <w:pStyle w:val="ListParagraph"/>
        <w:numPr>
          <w:ilvl w:val="2"/>
          <w:numId w:val="1"/>
        </w:numPr>
      </w:pPr>
      <w:r>
        <w:t xml:space="preserve">Current: Head of Business Development, leading $30B+ deal engine</w:t>
      </w:r>
    </w:p>
    <w:p>
      <w:r>
        <w:t xml:space="preserve">Deep cross-functional experience spanning strategy, operations, deal execution, and organizational design. Bridges R&amp;D and commercial worlds seamlessly.</w:t>
      </w:r>
    </w:p>
    <w:p/>
    <w:p>
      <w:pPr>
        <w:pStyle w:val="Heading2"/>
      </w:pPr>
      <w:r>
        <w:t xml:space="preserve">4. Strategic BD Priorities in Neuroscience</w:t>
      </w:r>
    </w:p>
    <w:p>
      <w:r>
        <w:t xml:space="preserve">Neuroscience is Paul's strategic focus. The pipeline priorities reflect BMS's renaisance commitment and unmet patient needs across psychiatric and neurological indications.</w:t>
      </w:r>
    </w:p>
    <w:p>
      <w:pPr>
        <w:pStyle w:val="ListParagraph"/>
        <w:numPr>
          <w:ilvl w:val="0"/>
          <w:numId w:val="1"/>
        </w:numPr>
      </w:pPr>
      <w:r>
        <w:rPr>
          <w:rFonts w:ascii="Arial" w:cs="Arial" w:eastAsia="Arial" w:hAnsi="Arial"/>
          <w:b/>
          <w:bCs/>
          <w:sz w:val="24"/>
          <w:szCs w:val="24"/>
        </w:rPr>
        <w:t xml:space="preserve">Cobenfy expansion:</w:t>
      </w:r>
      <w:r>
        <w:rPr>
          <w:rFonts w:ascii="Arial" w:cs="Arial" w:eastAsia="Arial" w:hAnsi="Arial"/>
          <w:sz w:val="24"/>
          <w:szCs w:val="24"/>
        </w:rPr>
        <w:t xml:space="preserve"> Schizophrenia (label expansion), Alzheimer's psychosis, agitation, cognitive impairment, bipolar disorder, autism spectrum disorder (ASD). Multi-indication franchise potential.</w:t>
      </w:r>
    </w:p>
    <w:p>
      <w:pPr>
        <w:pStyle w:val="ListParagraph"/>
        <w:numPr>
          <w:ilvl w:val="0"/>
          <w:numId w:val="1"/>
        </w:numPr>
      </w:pPr>
      <w:r>
        <w:rPr>
          <w:rFonts w:ascii="Arial" w:cs="Arial" w:eastAsia="Arial" w:hAnsi="Arial"/>
          <w:b/>
          <w:bCs/>
          <w:sz w:val="24"/>
          <w:szCs w:val="24"/>
        </w:rPr>
        <w:t xml:space="preserve">Anti-amyloid antibodies:</w:t>
      </w:r>
      <w:r>
        <w:rPr>
          <w:rFonts w:ascii="Arial" w:cs="Arial" w:eastAsia="Arial" w:hAnsi="Arial"/>
          <w:sz w:val="24"/>
          <w:szCs w:val="24"/>
        </w:rPr>
        <w:t xml:space="preserve"> BioArctic portfolio; competitive differentiation vs. Eli Lilly/Roche approaches</w:t>
      </w:r>
    </w:p>
    <w:p>
      <w:pPr>
        <w:pStyle w:val="ListParagraph"/>
        <w:numPr>
          <w:ilvl w:val="0"/>
          <w:numId w:val="1"/>
        </w:numPr>
      </w:pPr>
      <w:r>
        <w:rPr>
          <w:rFonts w:ascii="Arial" w:cs="Arial" w:eastAsia="Arial" w:hAnsi="Arial"/>
          <w:b/>
          <w:bCs/>
          <w:sz w:val="24"/>
          <w:szCs w:val="24"/>
        </w:rPr>
        <w:t xml:space="preserve">Anti-tau therapies:</w:t>
      </w:r>
      <w:r>
        <w:rPr>
          <w:rFonts w:ascii="Arial" w:cs="Arial" w:eastAsia="Arial" w:hAnsi="Arial"/>
          <w:sz w:val="24"/>
          <w:szCs w:val="24"/>
        </w:rPr>
        <w:t xml:space="preserve"> Prothena partnerships (PRX005, PRX019); next-gen tau approaches beyond current field</w:t>
      </w:r>
    </w:p>
    <w:p>
      <w:pPr>
        <w:pStyle w:val="ListParagraph"/>
        <w:numPr>
          <w:ilvl w:val="0"/>
          <w:numId w:val="1"/>
        </w:numPr>
      </w:pPr>
      <w:r>
        <w:rPr>
          <w:rFonts w:ascii="Arial" w:cs="Arial" w:eastAsia="Arial" w:hAnsi="Arial"/>
          <w:b/>
          <w:bCs/>
          <w:sz w:val="24"/>
          <w:szCs w:val="24"/>
        </w:rPr>
        <w:t xml:space="preserve">MDD &amp; Anxiety Gaps:</w:t>
      </w:r>
      <w:r>
        <w:rPr>
          <w:rFonts w:ascii="Arial" w:cs="Arial" w:eastAsia="Arial" w:hAnsi="Arial"/>
          <w:sz w:val="24"/>
          <w:szCs w:val="24"/>
        </w:rPr>
        <w:t xml:space="preserve"> Large unmet need; seeks novel mechanisms (GPCR, neuropeptide, psychedelic-derived)</w:t>
      </w:r>
    </w:p>
    <w:p>
      <w:pPr>
        <w:pStyle w:val="ListParagraph"/>
        <w:numPr>
          <w:ilvl w:val="0"/>
          <w:numId w:val="1"/>
        </w:numPr>
      </w:pPr>
      <w:r>
        <w:rPr>
          <w:rFonts w:ascii="Arial" w:cs="Arial" w:eastAsia="Arial" w:hAnsi="Arial"/>
          <w:b/>
          <w:bCs/>
          <w:sz w:val="24"/>
          <w:szCs w:val="24"/>
        </w:rPr>
        <w:t xml:space="preserve">Neuroinflammation &amp; Neuroimmunology:</w:t>
      </w:r>
      <w:r>
        <w:rPr>
          <w:rFonts w:ascii="Arial" w:cs="Arial" w:eastAsia="Arial" w:hAnsi="Arial"/>
          <w:sz w:val="24"/>
          <w:szCs w:val="24"/>
        </w:rPr>
        <w:t xml:space="preserve"> Evotec collaboration; microglial modulators, astrocyte targets, neuroinflammatory markers in neuropsych</w:t>
      </w:r>
    </w:p>
    <w:p>
      <w:pPr>
        <w:pStyle w:val="ListParagraph"/>
        <w:numPr>
          <w:ilvl w:val="0"/>
          <w:numId w:val="1"/>
        </w:numPr>
      </w:pPr>
      <w:r>
        <w:rPr>
          <w:rFonts w:ascii="Arial" w:cs="Arial" w:eastAsia="Arial" w:hAnsi="Arial"/>
          <w:b/>
          <w:bCs/>
          <w:sz w:val="24"/>
          <w:szCs w:val="24"/>
        </w:rPr>
        <w:t xml:space="preserve">Rare Neurological Conditions:</w:t>
      </w:r>
      <w:r>
        <w:rPr>
          <w:rFonts w:ascii="Arial" w:cs="Arial" w:eastAsia="Arial" w:hAnsi="Arial"/>
          <w:sz w:val="24"/>
          <w:szCs w:val="24"/>
        </w:rPr>
        <w:t xml:space="preserve"> Higher margins, fewer competitors, orphan/REMS opportunities</w:t>
      </w:r>
    </w:p>
    <w:p>
      <w:pPr>
        <w:pStyle w:val="ListParagraph"/>
        <w:numPr>
          <w:ilvl w:val="0"/>
          <w:numId w:val="1"/>
        </w:numPr>
      </w:pPr>
      <w:r>
        <w:rPr>
          <w:rFonts w:ascii="Arial" w:cs="Arial" w:eastAsia="Arial" w:hAnsi="Arial"/>
          <w:b/>
          <w:bCs/>
          <w:sz w:val="24"/>
          <w:szCs w:val="24"/>
        </w:rPr>
        <w:t xml:space="preserve">Biomarker &amp; Diagnostic Technologies:</w:t>
      </w:r>
      <w:r>
        <w:rPr>
          <w:rFonts w:ascii="Arial" w:cs="Arial" w:eastAsia="Arial" w:hAnsi="Arial"/>
          <w:sz w:val="24"/>
          <w:szCs w:val="24"/>
        </w:rPr>
        <w:t xml:space="preserve"> Blood biomarkers for early detection, patient stratification, dose optimization</w:t>
      </w:r>
    </w:p>
    <w:p>
      <w:pPr>
        <w:pStyle w:val="ListParagraph"/>
        <w:numPr>
          <w:ilvl w:val="0"/>
          <w:numId w:val="1"/>
        </w:numPr>
      </w:pPr>
      <w:r>
        <w:rPr>
          <w:rFonts w:ascii="Arial" w:cs="Arial" w:eastAsia="Arial" w:hAnsi="Arial"/>
          <w:b/>
          <w:bCs/>
          <w:sz w:val="24"/>
          <w:szCs w:val="24"/>
        </w:rPr>
        <w:t xml:space="preserve">Combination Therapies:</w:t>
      </w:r>
      <w:r>
        <w:rPr>
          <w:rFonts w:ascii="Arial" w:cs="Arial" w:eastAsia="Arial" w:hAnsi="Arial"/>
          <w:sz w:val="24"/>
          <w:szCs w:val="24"/>
        </w:rPr>
        <w:t xml:space="preserve"> Cobenfy + anti-tau + biomarker; synergistic mechanisms across psychiatric comorbidities</w:t>
      </w:r>
    </w:p>
    <w:p/>
    <w:p>
      <w:pPr>
        <w:pStyle w:val="Heading2"/>
      </w:pPr>
      <w:r>
        <w:t xml:space="preserve">5. Decision-Making Framework</w:t>
      </w:r>
    </w:p>
    <w:p>
      <w:r>
        <w:t xml:space="preserve">Paul applies rigorous, five-pillar framework to BD evaluation. Each pillar is weighted equally in initial screening; weighting adjusts by deal stage and risk profile.</w:t>
      </w:r>
    </w:p>
    <w:p>
      <w:pPr>
        <w:pStyle w:val="ListParagraph"/>
        <w:numPr>
          <w:ilvl w:val="0"/>
          <w:numId w:val="1"/>
        </w:numPr>
      </w:pPr>
      <w:r>
        <w:rPr>
          <w:rFonts w:ascii="Arial" w:cs="Arial" w:eastAsia="Arial" w:hAnsi="Arial"/>
          <w:b/>
          <w:bCs/>
          <w:sz w:val="24"/>
          <w:szCs w:val="24"/>
        </w:rPr>
        <w:t xml:space="preserve">Scientific Merit:</w:t>
      </w:r>
      <w:r>
        <w:rPr>
          <w:rFonts w:ascii="Arial" w:cs="Arial" w:eastAsia="Arial" w:hAnsi="Arial"/>
          <w:sz w:val="24"/>
          <w:szCs w:val="24"/>
        </w:rPr>
        <w:t xml:space="preserve"> Is this the right science? Does BMS add genuine value? Novel mechanism, robust preclinical data, expert validation.</w:t>
      </w:r>
    </w:p>
    <w:p>
      <w:pPr>
        <w:pStyle w:val="ListParagraph"/>
        <w:numPr>
          <w:ilvl w:val="0"/>
          <w:numId w:val="1"/>
        </w:numPr>
      </w:pPr>
      <w:r>
        <w:rPr>
          <w:rFonts w:ascii="Arial" w:cs="Arial" w:eastAsia="Arial" w:hAnsi="Arial"/>
          <w:b/>
          <w:bCs/>
          <w:sz w:val="24"/>
          <w:szCs w:val="24"/>
        </w:rPr>
        <w:t xml:space="preserve">Strategic Alignment:</w:t>
      </w:r>
      <w:r>
        <w:rPr>
          <w:rFonts w:ascii="Arial" w:cs="Arial" w:eastAsia="Arial" w:hAnsi="Arial"/>
          <w:sz w:val="24"/>
          <w:szCs w:val="24"/>
        </w:rPr>
        <w:t xml:space="preserve"> First-in-class or best-in-class? Fills a therapeutic gap in BMS portfolio? Synergistic with existing assets (e.g., Cobenfy combinations)?</w:t>
      </w:r>
    </w:p>
    <w:p>
      <w:pPr>
        <w:pStyle w:val="ListParagraph"/>
        <w:numPr>
          <w:ilvl w:val="0"/>
          <w:numId w:val="1"/>
        </w:numPr>
      </w:pPr>
      <w:r>
        <w:rPr>
          <w:rFonts w:ascii="Arial" w:cs="Arial" w:eastAsia="Arial" w:hAnsi="Arial"/>
          <w:b/>
          <w:bCs/>
          <w:sz w:val="24"/>
          <w:szCs w:val="24"/>
        </w:rPr>
        <w:t xml:space="preserve">Medical &amp; Clinical Viability:</w:t>
      </w:r>
      <w:r>
        <w:rPr>
          <w:rFonts w:ascii="Arial" w:cs="Arial" w:eastAsia="Arial" w:hAnsi="Arial"/>
          <w:sz w:val="24"/>
          <w:szCs w:val="24"/>
        </w:rPr>
        <w:t xml:space="preserve"> Can BMS execute? World-class trial operations, neuroimaging capabilities, patient access, regulatory pathway clarity?</w:t>
      </w:r>
    </w:p>
    <w:p>
      <w:pPr>
        <w:pStyle w:val="ListParagraph"/>
        <w:numPr>
          <w:ilvl w:val="0"/>
          <w:numId w:val="1"/>
        </w:numPr>
      </w:pPr>
      <w:r>
        <w:rPr>
          <w:rFonts w:ascii="Arial" w:cs="Arial" w:eastAsia="Arial" w:hAnsi="Arial"/>
          <w:b/>
          <w:bCs/>
          <w:sz w:val="24"/>
          <w:szCs w:val="24"/>
        </w:rPr>
        <w:t xml:space="preserve">Business &amp; Commercial Fit:</w:t>
      </w:r>
      <w:r>
        <w:rPr>
          <w:rFonts w:ascii="Arial" w:cs="Arial" w:eastAsia="Arial" w:hAnsi="Arial"/>
          <w:sz w:val="24"/>
          <w:szCs w:val="24"/>
        </w:rPr>
        <w:t xml:space="preserve"> Peak sales potential? Competitive differentiation? Market size, payer landscape, reimbursement likelihood?</w:t>
      </w:r>
    </w:p>
    <w:p>
      <w:pPr>
        <w:pStyle w:val="ListParagraph"/>
        <w:numPr>
          <w:ilvl w:val="0"/>
          <w:numId w:val="1"/>
        </w:numPr>
      </w:pPr>
      <w:r>
        <w:rPr>
          <w:rFonts w:ascii="Arial" w:cs="Arial" w:eastAsia="Arial" w:hAnsi="Arial"/>
          <w:b/>
          <w:bCs/>
          <w:sz w:val="24"/>
          <w:szCs w:val="24"/>
        </w:rPr>
        <w:t xml:space="preserve">Deal Economics &amp; Partnership Fit:</w:t>
      </w:r>
      <w:r>
        <w:rPr>
          <w:rFonts w:ascii="Arial" w:cs="Arial" w:eastAsia="Arial" w:hAnsi="Arial"/>
          <w:sz w:val="24"/>
          <w:szCs w:val="24"/>
        </w:rPr>
        <w:t xml:space="preserve"> Risk-adjusted valuation, milestone structure, IP clarity, partner's long-term vision alignment with BMS. Reciprocal value creation over 10+ years.</w:t>
      </w:r>
    </w:p>
    <w:p/>
    <w:p>
      <w:pPr>
        <w:pStyle w:val="Heading2"/>
      </w:pPr>
      <w:r>
        <w:t xml:space="preserve">6. View on Deal Structures &amp; Partnerships</w:t>
      </w:r>
    </w:p>
    <w:p>
      <w:r>
        <w:t xml:space="preserve">Paul is known for creative, customized deal structures. No template. Every partnership is tailored to partner's stage, capital needs, IP position, and long-term goals.</w:t>
      </w:r>
    </w:p>
    <w:p>
      <w:pPr>
        <w:pStyle w:val="ListParagraph"/>
        <w:numPr>
          <w:ilvl w:val="0"/>
          <w:numId w:val="1"/>
        </w:numPr>
      </w:pPr>
      <w:r>
        <w:rPr>
          <w:rFonts w:ascii="Arial" w:cs="Arial" w:eastAsia="Arial" w:hAnsi="Arial"/>
          <w:b/>
          <w:bCs/>
          <w:sz w:val="24"/>
          <w:szCs w:val="24"/>
        </w:rPr>
        <w:t xml:space="preserve">Mega-Acquisitions ($10B+):</w:t>
      </w:r>
      <w:r>
        <w:rPr>
          <w:rFonts w:ascii="Arial" w:cs="Arial" w:eastAsia="Arial" w:hAnsi="Arial"/>
          <w:sz w:val="24"/>
          <w:szCs w:val="24"/>
        </w:rPr>
        <w:t xml:space="preserve"> Karuna ($14B) model. Best for transformational, late-stage assets with clear regulatory path and commercial potential. Integration risk offset by immediate revenue contribution.</w:t>
      </w:r>
    </w:p>
    <w:p>
      <w:pPr>
        <w:pStyle w:val="ListParagraph"/>
        <w:numPr>
          <w:ilvl w:val="0"/>
          <w:numId w:val="1"/>
        </w:numPr>
      </w:pPr>
      <w:r>
        <w:rPr>
          <w:rFonts w:ascii="Arial" w:cs="Arial" w:eastAsia="Arial" w:hAnsi="Arial"/>
          <w:b/>
          <w:bCs/>
          <w:sz w:val="24"/>
          <w:szCs w:val="24"/>
        </w:rPr>
        <w:t xml:space="preserve">Large Licensing ($1B–$3B total value):</w:t>
      </w:r>
      <w:r>
        <w:rPr>
          <w:rFonts w:ascii="Arial" w:cs="Arial" w:eastAsia="Arial" w:hAnsi="Arial"/>
          <w:sz w:val="24"/>
          <w:szCs w:val="24"/>
        </w:rPr>
        <w:t xml:space="preserve"> BioArctic ($1.35B) model. Upfront + milestone + royalty tiers. Founder/investors retain equity; BMS gets exclusive global rights. De-risks asset while maintaining founder motivation.</w:t>
      </w:r>
    </w:p>
    <w:p>
      <w:pPr>
        <w:pStyle w:val="ListParagraph"/>
        <w:numPr>
          <w:ilvl w:val="0"/>
          <w:numId w:val="1"/>
        </w:numPr>
      </w:pPr>
      <w:r>
        <w:rPr>
          <w:rFonts w:ascii="Arial" w:cs="Arial" w:eastAsia="Arial" w:hAnsi="Arial"/>
          <w:b/>
          <w:bCs/>
          <w:sz w:val="24"/>
          <w:szCs w:val="24"/>
        </w:rPr>
        <w:t xml:space="preserve">Mid-Size Deals ($80M–$617M):</w:t>
      </w:r>
      <w:r>
        <w:rPr>
          <w:rFonts w:ascii="Arial" w:cs="Arial" w:eastAsia="Arial" w:hAnsi="Arial"/>
          <w:sz w:val="24"/>
          <w:szCs w:val="24"/>
        </w:rPr>
        <w:t xml:space="preserve"> Prothena model. Program-specific licensing, option structures, or minority investment. Allows BMS to 'test drive' partnership before scaling.</w:t>
      </w:r>
    </w:p>
    <w:p>
      <w:pPr>
        <w:pStyle w:val="ListParagraph"/>
        <w:numPr>
          <w:ilvl w:val="0"/>
          <w:numId w:val="1"/>
        </w:numPr>
      </w:pPr>
      <w:r>
        <w:rPr>
          <w:rFonts w:ascii="Arial" w:cs="Arial" w:eastAsia="Arial" w:hAnsi="Arial"/>
          <w:b/>
          <w:bCs/>
          <w:sz w:val="24"/>
          <w:szCs w:val="24"/>
        </w:rPr>
        <w:t xml:space="preserve">Milestone-Heavy Structures:</w:t>
      </w:r>
      <w:r>
        <w:rPr>
          <w:rFonts w:ascii="Arial" w:cs="Arial" w:eastAsia="Arial" w:hAnsi="Arial"/>
          <w:sz w:val="24"/>
          <w:szCs w:val="24"/>
        </w:rPr>
        <w:t xml:space="preserve"> Regulatory &amp; commercial milestones tied to Go/No-Go gates. Aligns incentives; partners earn upside on success.</w:t>
      </w:r>
    </w:p>
    <w:p>
      <w:pPr>
        <w:pStyle w:val="ListParagraph"/>
        <w:numPr>
          <w:ilvl w:val="0"/>
          <w:numId w:val="1"/>
        </w:numPr>
      </w:pPr>
      <w:r>
        <w:rPr>
          <w:rFonts w:ascii="Arial" w:cs="Arial" w:eastAsia="Arial" w:hAnsi="Arial"/>
          <w:b/>
          <w:bCs/>
          <w:sz w:val="24"/>
          <w:szCs w:val="24"/>
        </w:rPr>
        <w:t xml:space="preserve">Joint Governance:</w:t>
      </w:r>
      <w:r>
        <w:rPr>
          <w:rFonts w:ascii="Arial" w:cs="Arial" w:eastAsia="Arial" w:hAnsi="Arial"/>
          <w:sz w:val="24"/>
          <w:szCs w:val="24"/>
        </w:rPr>
        <w:t xml:space="preserve"> Steering committees with BMS + partner representation. Transparency, co-decision making, conflict resolution. Builds trust.</w:t>
      </w:r>
    </w:p>
    <w:p>
      <w:pPr>
        <w:pStyle w:val="ListParagraph"/>
        <w:numPr>
          <w:ilvl w:val="0"/>
          <w:numId w:val="1"/>
        </w:numPr>
      </w:pPr>
      <w:r>
        <w:rPr>
          <w:rFonts w:ascii="Arial" w:cs="Arial" w:eastAsia="Arial" w:hAnsi="Arial"/>
          <w:b/>
          <w:bCs/>
          <w:sz w:val="24"/>
          <w:szCs w:val="24"/>
        </w:rPr>
        <w:t xml:space="preserve">Option Structures (Early-Stage):</w:t>
      </w:r>
      <w:r>
        <w:rPr>
          <w:rFonts w:ascii="Arial" w:cs="Arial" w:eastAsia="Arial" w:hAnsi="Arial"/>
          <w:sz w:val="24"/>
          <w:szCs w:val="24"/>
        </w:rPr>
        <w:t xml:space="preserve"> BMS funds discovery, retains opt-in rights for preclinical/Phase 1 success. Low upfront risk; partner retains autonomy.</w:t>
      </w:r>
    </w:p>
    <w:p>
      <w:pPr>
        <w:pStyle w:val="ListParagraph"/>
        <w:numPr>
          <w:ilvl w:val="0"/>
          <w:numId w:val="1"/>
        </w:numPr>
      </w:pPr>
      <w:r>
        <w:rPr>
          <w:rFonts w:ascii="Arial" w:cs="Arial" w:eastAsia="Arial" w:hAnsi="Arial"/>
          <w:b/>
          <w:bCs/>
          <w:sz w:val="24"/>
          <w:szCs w:val="24"/>
        </w:rPr>
        <w:t xml:space="preserve">Geographic Flexibility:</w:t>
      </w:r>
      <w:r>
        <w:rPr>
          <w:rFonts w:ascii="Arial" w:cs="Arial" w:eastAsia="Arial" w:hAnsi="Arial"/>
          <w:sz w:val="24"/>
          <w:szCs w:val="24"/>
        </w:rPr>
        <w:t xml:space="preserve"> Co-development in China/Asia; exclusive US/EU to BMS. Accommodates partner's regional interests.</w:t>
      </w:r>
    </w:p>
    <w:p/>
    <w:p>
      <w:pPr>
        <w:pStyle w:val="Heading2"/>
      </w:pPr>
      <w:r>
        <w:t xml:space="preserve">7. Pain Points &amp; Frustrations</w:t>
      </w:r>
    </w:p>
    <w:p>
      <w:r>
        <w:t xml:space="preserve">Despite headline successes, Paul faces real operational and strategic pressures that shape his outlook and BD priorities.</w:t>
      </w:r>
    </w:p>
    <w:p>
      <w:pPr>
        <w:pStyle w:val="ListParagraph"/>
        <w:numPr>
          <w:ilvl w:val="0"/>
          <w:numId w:val="1"/>
        </w:numPr>
      </w:pPr>
      <w:r>
        <w:rPr>
          <w:rFonts w:ascii="Arial" w:cs="Arial" w:eastAsia="Arial" w:hAnsi="Arial"/>
          <w:b/>
          <w:bCs/>
          <w:sz w:val="24"/>
          <w:szCs w:val="24"/>
        </w:rPr>
        <w:t xml:space="preserve">Patent Cliff Urgency:</w:t>
      </w:r>
      <w:r>
        <w:rPr>
          <w:rFonts w:ascii="Arial" w:cs="Arial" w:eastAsia="Arial" w:hAnsi="Arial"/>
          <w:sz w:val="24"/>
          <w:szCs w:val="24"/>
        </w:rPr>
        <w:t xml:space="preserve"> Exclusivity loss on blockbusters (Opdivo, Keytruda loss pending). Makes BD non-negotiable; but raises internal pressure to close deals quickly, sometimes at premium valuations.</w:t>
      </w:r>
    </w:p>
    <w:p>
      <w:pPr>
        <w:pStyle w:val="ListParagraph"/>
        <w:numPr>
          <w:ilvl w:val="0"/>
          <w:numId w:val="1"/>
        </w:numPr>
      </w:pPr>
      <w:r>
        <w:rPr>
          <w:rFonts w:ascii="Arial" w:cs="Arial" w:eastAsia="Arial" w:hAnsi="Arial"/>
          <w:b/>
          <w:bCs/>
          <w:sz w:val="24"/>
          <w:szCs w:val="24"/>
        </w:rPr>
        <w:t xml:space="preserve">Cobenfy Commercialization Underperformance:</w:t>
      </w:r>
      <w:r>
        <w:rPr>
          <w:rFonts w:ascii="Arial" w:cs="Arial" w:eastAsia="Arial" w:hAnsi="Arial"/>
          <w:sz w:val="24"/>
          <w:szCs w:val="24"/>
        </w:rPr>
        <w:t xml:space="preserve"> $10M in Q4 2024 sales fell short of internal projections ($50M+ expected). Paul owns this challenge; slower-than-expected market adoption of muscarinic agonist in schizophrenia. Impacts confidence in Karuna upside.</w:t>
      </w:r>
    </w:p>
    <w:p>
      <w:pPr>
        <w:pStyle w:val="ListParagraph"/>
        <w:numPr>
          <w:ilvl w:val="0"/>
          <w:numId w:val="1"/>
        </w:numPr>
      </w:pPr>
      <w:r>
        <w:rPr>
          <w:rFonts w:ascii="Arial" w:cs="Arial" w:eastAsia="Arial" w:hAnsi="Arial"/>
          <w:b/>
          <w:bCs/>
          <w:sz w:val="24"/>
          <w:szCs w:val="24"/>
        </w:rPr>
        <w:t xml:space="preserve">Integration Bandwidth:</w:t>
      </w:r>
      <w:r>
        <w:rPr>
          <w:rFonts w:ascii="Arial" w:cs="Arial" w:eastAsia="Arial" w:hAnsi="Arial"/>
          <w:sz w:val="24"/>
          <w:szCs w:val="24"/>
        </w:rPr>
        <w:t xml:space="preserve"> Managing Karuna, BioArctic, Prothena, Evotec, Schrödinger simultaneously. Integration teams stretched; post-acquisition execution risk high.</w:t>
      </w:r>
    </w:p>
    <w:p>
      <w:pPr>
        <w:pStyle w:val="ListParagraph"/>
        <w:numPr>
          <w:ilvl w:val="0"/>
          <w:numId w:val="1"/>
        </w:numPr>
      </w:pPr>
      <w:r>
        <w:rPr>
          <w:rFonts w:ascii="Arial" w:cs="Arial" w:eastAsia="Arial" w:hAnsi="Arial"/>
          <w:b/>
          <w:bCs/>
          <w:sz w:val="24"/>
          <w:szCs w:val="24"/>
        </w:rPr>
        <w:t xml:space="preserve">Maintaining Deal Quality at Volume:</w:t>
      </w:r>
      <w:r>
        <w:rPr>
          <w:rFonts w:ascii="Arial" w:cs="Arial" w:eastAsia="Arial" w:hAnsi="Arial"/>
          <w:sz w:val="24"/>
          <w:szCs w:val="24"/>
        </w:rPr>
        <w:t xml:space="preserve"> Closing 75+ partnerships annually while ensuring scientific fit, strategic alignment, and commercial viability is exhausting. Risk of 'deal for deal's sake.'</w:t>
      </w:r>
    </w:p>
    <w:p>
      <w:pPr>
        <w:pStyle w:val="ListParagraph"/>
        <w:numPr>
          <w:ilvl w:val="0"/>
          <w:numId w:val="1"/>
        </w:numPr>
      </w:pPr>
      <w:r>
        <w:rPr>
          <w:rFonts w:ascii="Arial" w:cs="Arial" w:eastAsia="Arial" w:hAnsi="Arial"/>
          <w:b/>
          <w:bCs/>
          <w:sz w:val="24"/>
          <w:szCs w:val="24"/>
        </w:rPr>
        <w:t xml:space="preserve">Neuroscience Portfolio Execution Post-Karuna:</w:t>
      </w:r>
      <w:r>
        <w:rPr>
          <w:rFonts w:ascii="Arial" w:cs="Arial" w:eastAsia="Arial" w:hAnsi="Arial"/>
          <w:sz w:val="24"/>
          <w:szCs w:val="24"/>
        </w:rPr>
        <w:t xml:space="preserve"> Can BMS deliver on expansions, combinations, and new indications? Execution risk on Cobengy psychosis expansion, anti-amyloid/tau combo potential, biomarker integration.</w:t>
      </w:r>
    </w:p>
    <w:p>
      <w:pPr>
        <w:pStyle w:val="ListParagraph"/>
        <w:numPr>
          <w:ilvl w:val="0"/>
          <w:numId w:val="1"/>
        </w:numPr>
      </w:pPr>
      <w:r>
        <w:rPr>
          <w:rFonts w:ascii="Arial" w:cs="Arial" w:eastAsia="Arial" w:hAnsi="Arial"/>
          <w:b/>
          <w:bCs/>
          <w:sz w:val="24"/>
          <w:szCs w:val="24"/>
        </w:rPr>
        <w:t xml:space="preserve">Cost-Cutting vs. BD Investment Tension:</w:t>
      </w:r>
      <w:r>
        <w:rPr>
          <w:rFonts w:ascii="Arial" w:cs="Arial" w:eastAsia="Arial" w:hAnsi="Arial"/>
          <w:sz w:val="24"/>
          <w:szCs w:val="24"/>
        </w:rPr>
        <w:t xml:space="preserve"> CFO pressure to improve margins conflicts with Paul's need to fund deals, maintain partnerships, and invest in integration. Constraints impact deal execution speed and partner confidence.</w:t>
      </w:r>
    </w:p>
    <w:p/>
    <w:p>
      <w:pPr>
        <w:pStyle w:val="Heading2"/>
      </w:pPr>
      <w:r>
        <w:t xml:space="preserve">8. What Gets Them Excited</w:t>
      </w:r>
    </w:p>
    <w:p>
      <w:r>
        <w:t xml:space="preserve">Despite pressures, Paul is energized by genuine innovation and the opportunity to bring life-changing medicines to patients. These themes light him up in conversations and partnerships.</w:t>
      </w:r>
    </w:p>
    <w:p>
      <w:pPr>
        <w:pStyle w:val="ListParagraph"/>
        <w:numPr>
          <w:ilvl w:val="0"/>
          <w:numId w:val="1"/>
        </w:numPr>
      </w:pPr>
      <w:r>
        <w:rPr>
          <w:rFonts w:ascii="Arial" w:cs="Arial" w:eastAsia="Arial" w:hAnsi="Arial"/>
          <w:b/>
          <w:bCs/>
          <w:sz w:val="24"/>
          <w:szCs w:val="24"/>
        </w:rPr>
        <w:t xml:space="preserve">Novel Mechanism Neuroscience Assets:</w:t>
      </w:r>
      <w:r>
        <w:rPr>
          <w:rFonts w:ascii="Arial" w:cs="Arial" w:eastAsia="Arial" w:hAnsi="Arial"/>
          <w:sz w:val="24"/>
          <w:szCs w:val="24"/>
        </w:rPr>
        <w:t xml:space="preserve"> Muscarinic agonists, tau aggregation inhibitors, neuroimmune modulators, psychedelic-derived compounds. De-risked, well-validated mechanisms.</w:t>
      </w:r>
    </w:p>
    <w:p>
      <w:pPr>
        <w:pStyle w:val="ListParagraph"/>
        <w:numPr>
          <w:ilvl w:val="0"/>
          <w:numId w:val="1"/>
        </w:numPr>
      </w:pPr>
      <w:r>
        <w:rPr>
          <w:rFonts w:ascii="Arial" w:cs="Arial" w:eastAsia="Arial" w:hAnsi="Arial"/>
          <w:b/>
          <w:bCs/>
          <w:sz w:val="24"/>
          <w:szCs w:val="24"/>
        </w:rPr>
        <w:t xml:space="preserve">First-in-Class Psychiatric Treatments:</w:t>
      </w:r>
      <w:r>
        <w:rPr>
          <w:rFonts w:ascii="Arial" w:cs="Arial" w:eastAsia="Arial" w:hAnsi="Arial"/>
          <w:sz w:val="24"/>
          <w:szCs w:val="24"/>
        </w:rPr>
        <w:t xml:space="preserve"> Rare opportunity to transform mental health care. Patient unmet need is immense. High impact potential.</w:t>
      </w:r>
    </w:p>
    <w:p>
      <w:pPr>
        <w:pStyle w:val="ListParagraph"/>
        <w:numPr>
          <w:ilvl w:val="0"/>
          <w:numId w:val="1"/>
        </w:numPr>
      </w:pPr>
      <w:r>
        <w:rPr>
          <w:rFonts w:ascii="Arial" w:cs="Arial" w:eastAsia="Arial" w:hAnsi="Arial"/>
          <w:b/>
          <w:bCs/>
          <w:sz w:val="24"/>
          <w:szCs w:val="24"/>
        </w:rPr>
        <w:t xml:space="preserve">Neuroimmunology Crossover Opportunities:</w:t>
      </w:r>
      <w:r>
        <w:rPr>
          <w:rFonts w:ascii="Arial" w:cs="Arial" w:eastAsia="Arial" w:hAnsi="Arial"/>
          <w:sz w:val="24"/>
          <w:szCs w:val="24"/>
        </w:rPr>
        <w:t xml:space="preserve"> Microglial activation in Alzheimer's, neuroinflammation in depression, astrocyte dysfunction in ASD. Combines BMS's immunology strength with neuroscience growth.</w:t>
      </w:r>
    </w:p>
    <w:p>
      <w:pPr>
        <w:pStyle w:val="ListParagraph"/>
        <w:numPr>
          <w:ilvl w:val="0"/>
          <w:numId w:val="1"/>
        </w:numPr>
      </w:pPr>
      <w:r>
        <w:rPr>
          <w:rFonts w:ascii="Arial" w:cs="Arial" w:eastAsia="Arial" w:hAnsi="Arial"/>
          <w:b/>
          <w:bCs/>
          <w:sz w:val="24"/>
          <w:szCs w:val="24"/>
        </w:rPr>
        <w:t xml:space="preserve">Biomarker-Driven Patient Stratification:</w:t>
      </w:r>
      <w:r>
        <w:rPr>
          <w:rFonts w:ascii="Arial" w:cs="Arial" w:eastAsia="Arial" w:hAnsi="Arial"/>
          <w:sz w:val="24"/>
          <w:szCs w:val="24"/>
        </w:rPr>
        <w:t xml:space="preserve"> Blood biomarkers for early AD detection, CSF tau/amyloid, neuroinflammatory markers. Enables precision medicine; improves trial success rates.</w:t>
      </w:r>
    </w:p>
    <w:p>
      <w:pPr>
        <w:pStyle w:val="ListParagraph"/>
        <w:numPr>
          <w:ilvl w:val="0"/>
          <w:numId w:val="1"/>
        </w:numPr>
      </w:pPr>
      <w:r>
        <w:rPr>
          <w:rFonts w:ascii="Arial" w:cs="Arial" w:eastAsia="Arial" w:hAnsi="Arial"/>
          <w:b/>
          <w:bCs/>
          <w:sz w:val="24"/>
          <w:szCs w:val="24"/>
        </w:rPr>
        <w:t xml:space="preserve">Computational Drug Discovery Platforms:</w:t>
      </w:r>
      <w:r>
        <w:rPr>
          <w:rFonts w:ascii="Arial" w:cs="Arial" w:eastAsia="Arial" w:hAnsi="Arial"/>
          <w:sz w:val="24"/>
          <w:szCs w:val="24"/>
        </w:rPr>
        <w:t xml:space="preserve"> AI/ML to accelerate lead ID and optimization. Schrödinger partnership is exemplary. Speed to PoC.</w:t>
      </w:r>
    </w:p>
    <w:p>
      <w:pPr>
        <w:pStyle w:val="ListParagraph"/>
        <w:numPr>
          <w:ilvl w:val="0"/>
          <w:numId w:val="1"/>
        </w:numPr>
      </w:pPr>
      <w:r>
        <w:rPr>
          <w:rFonts w:ascii="Arial" w:cs="Arial" w:eastAsia="Arial" w:hAnsi="Arial"/>
          <w:b/>
          <w:bCs/>
          <w:sz w:val="24"/>
          <w:szCs w:val="24"/>
        </w:rPr>
        <w:t xml:space="preserve">Combination Approaches with Cobenfy:</w:t>
      </w:r>
      <w:r>
        <w:rPr>
          <w:rFonts w:ascii="Arial" w:cs="Arial" w:eastAsia="Arial" w:hAnsi="Arial"/>
          <w:sz w:val="24"/>
          <w:szCs w:val="24"/>
        </w:rPr>
        <w:t xml:space="preserve"> Muscarinic agonist + anti-amyloid + anti-tau in Alzheimer's psychosis. Multi-modal synergy; largest franchise potential.</w:t>
      </w:r>
    </w:p>
    <w:p>
      <w:pPr>
        <w:pStyle w:val="ListParagraph"/>
        <w:numPr>
          <w:ilvl w:val="0"/>
          <w:numId w:val="1"/>
        </w:numPr>
      </w:pPr>
      <w:r>
        <w:rPr>
          <w:rFonts w:ascii="Arial" w:cs="Arial" w:eastAsia="Arial" w:hAnsi="Arial"/>
          <w:b/>
          <w:bCs/>
          <w:sz w:val="24"/>
          <w:szCs w:val="24"/>
        </w:rPr>
        <w:t xml:space="preserve">Speed to Proof-of-Concept:</w:t>
      </w:r>
      <w:r>
        <w:rPr>
          <w:rFonts w:ascii="Arial" w:cs="Arial" w:eastAsia="Arial" w:hAnsi="Arial"/>
          <w:sz w:val="24"/>
          <w:szCs w:val="24"/>
        </w:rPr>
        <w:t xml:space="preserve"> Early-stage startups with clear Phase 1/2a plans, minimal preclinical work remaining. De-risk timelines.</w:t>
      </w:r>
    </w:p>
    <w:p/>
    <w:p>
      <w:pPr>
        <w:pStyle w:val="Heading2"/>
      </w:pPr>
      <w:r>
        <w:t xml:space="preserve">9. How They Engage with Biotech</w:t>
      </w:r>
    </w:p>
    <w:p>
      <w:r>
        <w:t xml:space="preserve">Paul brings McKinsey-caliber rigor and consulting mindset to partnerships. Founders and CEOs rate him highly for direct, transparent engagement and rapid decision-making.</w:t>
      </w:r>
    </w:p>
    <w:p>
      <w:pPr>
        <w:pStyle w:val="ListParagraph"/>
        <w:numPr>
          <w:ilvl w:val="0"/>
          <w:numId w:val="1"/>
        </w:numPr>
      </w:pPr>
      <w:r>
        <w:rPr>
          <w:rFonts w:ascii="Arial" w:cs="Arial" w:eastAsia="Arial" w:hAnsi="Arial"/>
          <w:b/>
          <w:bCs/>
          <w:sz w:val="24"/>
          <w:szCs w:val="24"/>
        </w:rPr>
        <w:t xml:space="preserve">Direct Leadership Engagement:</w:t>
      </w:r>
      <w:r>
        <w:rPr>
          <w:rFonts w:ascii="Arial" w:cs="Arial" w:eastAsia="Arial" w:hAnsi="Arial"/>
          <w:sz w:val="24"/>
          <w:szCs w:val="24"/>
        </w:rPr>
        <w:t xml:space="preserve"> Paul personally meets founders/CEOs. Sets tone for transparency and mutual respect. No gatekeeping.</w:t>
      </w:r>
    </w:p>
    <w:p>
      <w:pPr>
        <w:pStyle w:val="ListParagraph"/>
        <w:numPr>
          <w:ilvl w:val="0"/>
          <w:numId w:val="1"/>
        </w:numPr>
      </w:pPr>
      <w:r>
        <w:rPr>
          <w:rFonts w:ascii="Arial" w:cs="Arial" w:eastAsia="Arial" w:hAnsi="Arial"/>
          <w:b/>
          <w:bCs/>
          <w:sz w:val="24"/>
          <w:szCs w:val="24"/>
        </w:rPr>
        <w:t xml:space="preserve">Cross-Functional Teams:</w:t>
      </w:r>
      <w:r>
        <w:rPr>
          <w:rFonts w:ascii="Arial" w:cs="Arial" w:eastAsia="Arial" w:hAnsi="Arial"/>
          <w:sz w:val="24"/>
          <w:szCs w:val="24"/>
        </w:rPr>
        <w:t xml:space="preserve"> BD + R&amp;D + Commercial + Regulatory embedded from first conversation. Joint problem-solving. No surprises later.</w:t>
      </w:r>
    </w:p>
    <w:p>
      <w:pPr>
        <w:pStyle w:val="ListParagraph"/>
        <w:numPr>
          <w:ilvl w:val="0"/>
          <w:numId w:val="1"/>
        </w:numPr>
      </w:pPr>
      <w:r>
        <w:rPr>
          <w:rFonts w:ascii="Arial" w:cs="Arial" w:eastAsia="Arial" w:hAnsi="Arial"/>
          <w:b/>
          <w:bCs/>
          <w:sz w:val="24"/>
          <w:szCs w:val="24"/>
        </w:rPr>
        <w:t xml:space="preserve">Golden Ticket Program:</w:t>
      </w:r>
      <w:r>
        <w:rPr>
          <w:rFonts w:ascii="Arial" w:cs="Arial" w:eastAsia="Arial" w:hAnsi="Arial"/>
          <w:sz w:val="24"/>
          <w:szCs w:val="24"/>
        </w:rPr>
        <w:t xml:space="preserve"> Fast-track evaluation for early-stage neuro startups. 90-day assessment; clear Go/No-Go decision. Removes ambiguity.</w:t>
      </w:r>
    </w:p>
    <w:p>
      <w:pPr>
        <w:pStyle w:val="ListParagraph"/>
        <w:numPr>
          <w:ilvl w:val="0"/>
          <w:numId w:val="1"/>
        </w:numPr>
      </w:pPr>
      <w:r>
        <w:rPr>
          <w:rFonts w:ascii="Arial" w:cs="Arial" w:eastAsia="Arial" w:hAnsi="Arial"/>
          <w:b/>
          <w:bCs/>
          <w:sz w:val="24"/>
          <w:szCs w:val="24"/>
        </w:rPr>
        <w:t xml:space="preserve">BRIDGE Initiative (Europe):</w:t>
      </w:r>
      <w:r>
        <w:rPr>
          <w:rFonts w:ascii="Arial" w:cs="Arial" w:eastAsia="Arial" w:hAnsi="Arial"/>
          <w:sz w:val="24"/>
          <w:szCs w:val="24"/>
        </w:rPr>
        <w:t xml:space="preserve"> Regional BD presence; enables local partnerships without wait for HQ review. Agile decision-making.</w:t>
      </w:r>
    </w:p>
    <w:p>
      <w:pPr>
        <w:pStyle w:val="ListParagraph"/>
        <w:numPr>
          <w:ilvl w:val="0"/>
          <w:numId w:val="1"/>
        </w:numPr>
      </w:pPr>
      <w:r>
        <w:rPr>
          <w:rFonts w:ascii="Arial" w:cs="Arial" w:eastAsia="Arial" w:hAnsi="Arial"/>
          <w:b/>
          <w:bCs/>
          <w:sz w:val="24"/>
          <w:szCs w:val="24"/>
        </w:rPr>
        <w:t xml:space="preserve">Quick Execution Reputation:</w:t>
      </w:r>
      <w:r>
        <w:rPr>
          <w:rFonts w:ascii="Arial" w:cs="Arial" w:eastAsia="Arial" w:hAnsi="Arial"/>
          <w:sz w:val="24"/>
          <w:szCs w:val="24"/>
        </w:rPr>
        <w:t xml:space="preserve"> Paul is known for speed. Term sheets in weeks, not months. Partners value his 'yes or no, and here's why' approach.</w:t>
      </w:r>
    </w:p>
    <w:p>
      <w:pPr>
        <w:pStyle w:val="ListParagraph"/>
        <w:numPr>
          <w:ilvl w:val="0"/>
          <w:numId w:val="1"/>
        </w:numPr>
      </w:pPr>
      <w:r>
        <w:rPr>
          <w:rFonts w:ascii="Arial" w:cs="Arial" w:eastAsia="Arial" w:hAnsi="Arial"/>
          <w:b/>
          <w:bCs/>
          <w:sz w:val="24"/>
          <w:szCs w:val="24"/>
        </w:rPr>
        <w:t xml:space="preserve">Customized Deal Structures:</w:t>
      </w:r>
      <w:r>
        <w:rPr>
          <w:rFonts w:ascii="Arial" w:cs="Arial" w:eastAsia="Arial" w:hAnsi="Arial"/>
          <w:sz w:val="24"/>
          <w:szCs w:val="24"/>
        </w:rPr>
        <w:t xml:space="preserve"> Not template-driven. Paul listens to partner's needs (capital, governance, optionality, IP control) and designs bespoke deal. Builds goodwill.</w:t>
      </w:r>
    </w:p>
    <w:p>
      <w:pPr>
        <w:pStyle w:val="ListParagraph"/>
        <w:numPr>
          <w:ilvl w:val="0"/>
          <w:numId w:val="1"/>
        </w:numPr>
      </w:pPr>
      <w:r>
        <w:rPr>
          <w:rFonts w:ascii="Arial" w:cs="Arial" w:eastAsia="Arial" w:hAnsi="Arial"/>
          <w:b/>
          <w:bCs/>
          <w:sz w:val="24"/>
          <w:szCs w:val="24"/>
        </w:rPr>
        <w:t xml:space="preserve">Long-Term Relationship Building:</w:t>
      </w:r>
      <w:r>
        <w:rPr>
          <w:rFonts w:ascii="Arial" w:cs="Arial" w:eastAsia="Arial" w:hAnsi="Arial"/>
          <w:sz w:val="24"/>
          <w:szCs w:val="24"/>
        </w:rPr>
        <w:t xml:space="preserve"> Views partnerships as 10-year+ relationships, not transactional. Founder retention, option exercises, co-development. Builds ecosystem loyalty.</w:t>
      </w:r>
    </w:p>
    <w:p/>
    <w:p>
      <w:pPr>
        <w:pStyle w:val="Heading2"/>
      </w:pPr>
      <w:r>
        <w:t xml:space="preserve">10. Communication &amp; Negotiation Style</w:t>
      </w:r>
    </w:p>
    <w:p>
      <w:r>
        <w:t xml:space="preserve">Paul is consultative, analytical, and people-centric. McKinsey roots show: structure-first thinking, data-driven narrative, and collaborative problem-solving.</w:t>
      </w:r>
    </w:p>
    <w:p>
      <w:pPr>
        <w:pStyle w:val="ListParagraph"/>
        <w:numPr>
          <w:ilvl w:val="0"/>
          <w:numId w:val="1"/>
        </w:numPr>
      </w:pPr>
      <w:r>
        <w:rPr>
          <w:rFonts w:ascii="Arial" w:cs="Arial" w:eastAsia="Arial" w:hAnsi="Arial"/>
          <w:b/>
          <w:bCs/>
          <w:sz w:val="24"/>
          <w:szCs w:val="24"/>
        </w:rPr>
        <w:t xml:space="preserve">Transparent &amp; Direct:</w:t>
      </w:r>
      <w:r>
        <w:rPr>
          <w:rFonts w:ascii="Arial" w:cs="Arial" w:eastAsia="Arial" w:hAnsi="Arial"/>
          <w:sz w:val="24"/>
          <w:szCs w:val="24"/>
        </w:rPr>
        <w:t xml:space="preserve"> Says what he means. No corporate doublespeak. Partners know where they stand. Builds trust rapidly.</w:t>
      </w:r>
    </w:p>
    <w:p>
      <w:pPr>
        <w:pStyle w:val="ListParagraph"/>
        <w:numPr>
          <w:ilvl w:val="0"/>
          <w:numId w:val="1"/>
        </w:numPr>
      </w:pPr>
      <w:r>
        <w:rPr>
          <w:rFonts w:ascii="Arial" w:cs="Arial" w:eastAsia="Arial" w:hAnsi="Arial"/>
          <w:b/>
          <w:bCs/>
          <w:sz w:val="24"/>
          <w:szCs w:val="24"/>
        </w:rPr>
        <w:t xml:space="preserve">Speed of Execution Valued:</w:t>
      </w:r>
      <w:r>
        <w:rPr>
          <w:rFonts w:ascii="Arial" w:cs="Arial" w:eastAsia="Arial" w:hAnsi="Arial"/>
          <w:sz w:val="24"/>
          <w:szCs w:val="24"/>
        </w:rPr>
        <w:t xml:space="preserve"> Pushes teams to decide faster. Uses clear decision gates, timelines, and accountability. Impatient with delays.</w:t>
      </w:r>
    </w:p>
    <w:p>
      <w:pPr>
        <w:pStyle w:val="ListParagraph"/>
        <w:numPr>
          <w:ilvl w:val="0"/>
          <w:numId w:val="1"/>
        </w:numPr>
      </w:pPr>
      <w:r>
        <w:rPr>
          <w:rFonts w:ascii="Arial" w:cs="Arial" w:eastAsia="Arial" w:hAnsi="Arial"/>
          <w:b/>
          <w:bCs/>
          <w:sz w:val="24"/>
          <w:szCs w:val="24"/>
        </w:rPr>
        <w:t xml:space="preserve">Creative Problem-Solving:</w:t>
      </w:r>
      <w:r>
        <w:rPr>
          <w:rFonts w:ascii="Arial" w:cs="Arial" w:eastAsia="Arial" w:hAnsi="Arial"/>
          <w:sz w:val="24"/>
          <w:szCs w:val="24"/>
        </w:rPr>
        <w:t xml:space="preserve"> Doesn't accept 'no' easily. If deal terms look stuck, he reframes the problem and offers novel structures.</w:t>
      </w:r>
    </w:p>
    <w:p>
      <w:pPr>
        <w:pStyle w:val="ListParagraph"/>
        <w:numPr>
          <w:ilvl w:val="0"/>
          <w:numId w:val="1"/>
        </w:numPr>
      </w:pPr>
      <w:r>
        <w:rPr>
          <w:rFonts w:ascii="Arial" w:cs="Arial" w:eastAsia="Arial" w:hAnsi="Arial"/>
          <w:b/>
          <w:bCs/>
          <w:sz w:val="24"/>
          <w:szCs w:val="24"/>
        </w:rPr>
        <w:t xml:space="preserve">Consultative (McKinsey DNA):</w:t>
      </w:r>
      <w:r>
        <w:rPr>
          <w:rFonts w:ascii="Arial" w:cs="Arial" w:eastAsia="Arial" w:hAnsi="Arial"/>
          <w:sz w:val="24"/>
          <w:szCs w:val="24"/>
        </w:rPr>
        <w:t xml:space="preserve"> Asks probing questions first. Listens before prescribing. Diagnoses partner's true needs, not just stated wants.</w:t>
      </w:r>
    </w:p>
    <w:p>
      <w:pPr>
        <w:pStyle w:val="ListParagraph"/>
        <w:numPr>
          <w:ilvl w:val="0"/>
          <w:numId w:val="1"/>
        </w:numPr>
      </w:pPr>
      <w:r>
        <w:rPr>
          <w:rFonts w:ascii="Arial" w:cs="Arial" w:eastAsia="Arial" w:hAnsi="Arial"/>
          <w:b/>
          <w:bCs/>
          <w:sz w:val="24"/>
          <w:szCs w:val="24"/>
        </w:rPr>
        <w:t xml:space="preserve">Emphasizes Mutual Value Creation:</w:t>
      </w:r>
      <w:r>
        <w:rPr>
          <w:rFonts w:ascii="Arial" w:cs="Arial" w:eastAsia="Arial" w:hAnsi="Arial"/>
          <w:sz w:val="24"/>
          <w:szCs w:val="24"/>
        </w:rPr>
        <w:t xml:space="preserve"> Not win-lose. Articulates how partnership succeeds for both sides. Long-term upside, not short-term extraction.</w:t>
      </w:r>
    </w:p>
    <w:p>
      <w:pPr>
        <w:pStyle w:val="ListParagraph"/>
        <w:numPr>
          <w:ilvl w:val="0"/>
          <w:numId w:val="1"/>
        </w:numPr>
      </w:pPr>
      <w:r>
        <w:rPr>
          <w:rFonts w:ascii="Arial" w:cs="Arial" w:eastAsia="Arial" w:hAnsi="Arial"/>
          <w:b/>
          <w:bCs/>
          <w:sz w:val="24"/>
          <w:szCs w:val="24"/>
        </w:rPr>
        <w:t xml:space="preserve">Firm but Fair on Economics:</w:t>
      </w:r>
      <w:r>
        <w:rPr>
          <w:rFonts w:ascii="Arial" w:cs="Arial" w:eastAsia="Arial" w:hAnsi="Arial"/>
          <w:sz w:val="24"/>
          <w:szCs w:val="24"/>
        </w:rPr>
        <w:t xml:space="preserve"> Doesn't overpay. Uses market comps and precedent. But willing to pay premium for right science + fit.</w:t>
      </w:r>
    </w:p>
    <w:p>
      <w:pPr>
        <w:pStyle w:val="ListParagraph"/>
        <w:numPr>
          <w:ilvl w:val="0"/>
          <w:numId w:val="1"/>
        </w:numPr>
      </w:pPr>
      <w:r>
        <w:rPr>
          <w:rFonts w:ascii="Arial" w:cs="Arial" w:eastAsia="Arial" w:hAnsi="Arial"/>
          <w:b/>
          <w:bCs/>
          <w:sz w:val="24"/>
          <w:szCs w:val="24"/>
        </w:rPr>
        <w:t xml:space="preserve">Patient with Complex Structures:</w:t>
      </w:r>
      <w:r>
        <w:rPr>
          <w:rFonts w:ascii="Arial" w:cs="Arial" w:eastAsia="Arial" w:hAnsi="Arial"/>
          <w:sz w:val="24"/>
          <w:szCs w:val="24"/>
        </w:rPr>
        <w:t xml:space="preserve"> Understands deal complexity. Won't rush legal/structural details. But expects crisp timelines once terms agreed.</w:t>
      </w:r>
    </w:p>
    <w:p>
      <w:pPr>
        <w:pStyle w:val="ListParagraph"/>
        <w:numPr>
          <w:ilvl w:val="0"/>
          <w:numId w:val="1"/>
        </w:numPr>
      </w:pPr>
      <w:r>
        <w:rPr>
          <w:rFonts w:ascii="Arial" w:cs="Arial" w:eastAsia="Arial" w:hAnsi="Arial"/>
          <w:b/>
          <w:bCs/>
          <w:sz w:val="24"/>
          <w:szCs w:val="24"/>
        </w:rPr>
        <w:t xml:space="preserve">Values Scientific Credibility:</w:t>
      </w:r>
      <w:r>
        <w:rPr>
          <w:rFonts w:ascii="Arial" w:cs="Arial" w:eastAsia="Arial" w:hAnsi="Arial"/>
          <w:sz w:val="24"/>
          <w:szCs w:val="24"/>
        </w:rPr>
        <w:t xml:space="preserve"> Asks hard questions on mechanism, data robustness, trial design. Partners must have answers. Respects intellectual rigor.</w:t>
      </w:r>
    </w:p>
    <w:p/>
    <w:p>
      <w:pPr>
        <w:pStyle w:val="Heading2"/>
      </w:pPr>
      <w:r>
        <w:t xml:space="preserve">11. Metrics They Track</w:t>
      </w:r>
    </w:p>
    <w:p>
      <w:r>
        <w:t xml:space="preserve">Paul is metrics-obsessed (McKinsey/BMS culture). These KPIs define his quarterly/annual performance and shape BD strategy.</w:t>
      </w:r>
    </w:p>
    <w:p>
      <w:pPr>
        <w:pStyle w:val="ListParagraph"/>
        <w:numPr>
          <w:ilvl w:val="0"/>
          <w:numId w:val="1"/>
        </w:numPr>
      </w:pPr>
      <w:r>
        <w:rPr>
          <w:rFonts w:ascii="Arial" w:cs="Arial" w:eastAsia="Arial" w:hAnsi="Arial"/>
          <w:b/>
          <w:bCs/>
          <w:sz w:val="24"/>
          <w:szCs w:val="24"/>
        </w:rPr>
        <w:t xml:space="preserve">% Pipeline Externally Sourced:</w:t>
      </w:r>
      <w:r>
        <w:rPr>
          <w:rFonts w:ascii="Arial" w:cs="Arial" w:eastAsia="Arial" w:hAnsi="Arial"/>
          <w:sz w:val="24"/>
          <w:szCs w:val="24"/>
        </w:rPr>
        <w:t xml:space="preserve"> Target &gt;60%. Reflects BD effectiveness in filling portfolio; correlates with growth and innovation.</w:t>
      </w:r>
    </w:p>
    <w:p>
      <w:pPr>
        <w:pStyle w:val="ListParagraph"/>
        <w:numPr>
          <w:ilvl w:val="0"/>
          <w:numId w:val="1"/>
        </w:numPr>
      </w:pPr>
      <w:r>
        <w:rPr>
          <w:rFonts w:ascii="Arial" w:cs="Arial" w:eastAsia="Arial" w:hAnsi="Arial"/>
          <w:b/>
          <w:bCs/>
          <w:sz w:val="24"/>
          <w:szCs w:val="24"/>
        </w:rPr>
        <w:t xml:space="preserve">Partnership Count &amp; Landscape:</w:t>
      </w:r>
      <w:r>
        <w:rPr>
          <w:rFonts w:ascii="Arial" w:cs="Arial" w:eastAsia="Arial" w:hAnsi="Arial"/>
          <w:sz w:val="24"/>
          <w:szCs w:val="24"/>
        </w:rPr>
        <w:t xml:space="preserve"> Target 75+ active partnerships. Indicates ecosystem breadth and influence.</w:t>
      </w:r>
    </w:p>
    <w:p>
      <w:pPr>
        <w:pStyle w:val="ListParagraph"/>
        <w:numPr>
          <w:ilvl w:val="0"/>
          <w:numId w:val="1"/>
        </w:numPr>
      </w:pPr>
      <w:r>
        <w:rPr>
          <w:rFonts w:ascii="Arial" w:cs="Arial" w:eastAsia="Arial" w:hAnsi="Arial"/>
          <w:b/>
          <w:bCs/>
          <w:sz w:val="24"/>
          <w:szCs w:val="24"/>
        </w:rPr>
        <w:t xml:space="preserve">Deal Volume &amp; Value:</w:t>
      </w:r>
      <w:r>
        <w:rPr>
          <w:rFonts w:ascii="Arial" w:cs="Arial" w:eastAsia="Arial" w:hAnsi="Arial"/>
          <w:sz w:val="24"/>
          <w:szCs w:val="24"/>
        </w:rPr>
        <w:t xml:space="preserve"> Tracks # of deals closed/year, total value, average deal size, mix (licensing vs. acquisition vs. collaboration).</w:t>
      </w:r>
    </w:p>
    <w:p>
      <w:pPr>
        <w:pStyle w:val="ListParagraph"/>
        <w:numPr>
          <w:ilvl w:val="0"/>
          <w:numId w:val="1"/>
        </w:numPr>
      </w:pPr>
      <w:r>
        <w:rPr>
          <w:rFonts w:ascii="Arial" w:cs="Arial" w:eastAsia="Arial" w:hAnsi="Arial"/>
          <w:b/>
          <w:bCs/>
          <w:sz w:val="24"/>
          <w:szCs w:val="24"/>
        </w:rPr>
        <w:t xml:space="preserve">Cobenfy Revenue Trajectory:</w:t>
      </w:r>
      <w:r>
        <w:rPr>
          <w:rFonts w:ascii="Arial" w:cs="Arial" w:eastAsia="Arial" w:hAnsi="Arial"/>
          <w:sz w:val="24"/>
          <w:szCs w:val="24"/>
        </w:rPr>
        <w:t xml:space="preserve"> Quarterly revenue, Rx growth rate, market share vs. Abilify. Critical metric post-$14B Karuna investment.</w:t>
      </w:r>
    </w:p>
    <w:p>
      <w:pPr>
        <w:pStyle w:val="ListParagraph"/>
        <w:numPr>
          <w:ilvl w:val="0"/>
          <w:numId w:val="1"/>
        </w:numPr>
      </w:pPr>
      <w:r>
        <w:rPr>
          <w:rFonts w:ascii="Arial" w:cs="Arial" w:eastAsia="Arial" w:hAnsi="Arial"/>
          <w:b/>
          <w:bCs/>
          <w:sz w:val="24"/>
          <w:szCs w:val="24"/>
        </w:rPr>
        <w:t xml:space="preserve">Phase 3 Success Rate:</w:t>
      </w:r>
      <w:r>
        <w:rPr>
          <w:rFonts w:ascii="Arial" w:cs="Arial" w:eastAsia="Arial" w:hAnsi="Arial"/>
          <w:sz w:val="24"/>
          <w:szCs w:val="24"/>
        </w:rPr>
        <w:t xml:space="preserve"> Tracks % of BD-sourced Phase 3 programs that achieve primary endpoints. Measures due diligence quality.</w:t>
      </w:r>
    </w:p>
    <w:p>
      <w:pPr>
        <w:pStyle w:val="ListParagraph"/>
        <w:numPr>
          <w:ilvl w:val="0"/>
          <w:numId w:val="1"/>
        </w:numPr>
      </w:pPr>
      <w:r>
        <w:rPr>
          <w:rFonts w:ascii="Arial" w:cs="Arial" w:eastAsia="Arial" w:hAnsi="Arial"/>
          <w:b/>
          <w:bCs/>
          <w:sz w:val="24"/>
          <w:szCs w:val="24"/>
        </w:rPr>
        <w:t xml:space="preserve">Time from Deal to Filing:</w:t>
      </w:r>
      <w:r>
        <w:rPr>
          <w:rFonts w:ascii="Arial" w:cs="Arial" w:eastAsia="Arial" w:hAnsi="Arial"/>
          <w:sz w:val="24"/>
          <w:szCs w:val="24"/>
        </w:rPr>
        <w:t xml:space="preserve"> Average timeline from deal close to IND/NDA submission. Shorter is better (execution quality).</w:t>
      </w:r>
    </w:p>
    <w:p>
      <w:pPr>
        <w:pStyle w:val="ListParagraph"/>
        <w:numPr>
          <w:ilvl w:val="0"/>
          <w:numId w:val="1"/>
        </w:numPr>
      </w:pPr>
      <w:r>
        <w:rPr>
          <w:rFonts w:ascii="Arial" w:cs="Arial" w:eastAsia="Arial" w:hAnsi="Arial"/>
          <w:b/>
          <w:bCs/>
          <w:sz w:val="24"/>
          <w:szCs w:val="24"/>
        </w:rPr>
        <w:t xml:space="preserve">Portfolio Balance (Internal vs. External):</w:t>
      </w:r>
      <w:r>
        <w:rPr>
          <w:rFonts w:ascii="Arial" w:cs="Arial" w:eastAsia="Arial" w:hAnsi="Arial"/>
          <w:sz w:val="24"/>
          <w:szCs w:val="24"/>
        </w:rPr>
        <w:t xml:space="preserve"> Early/mid-stage internal programs vs. late-stage licensed/acquired assets. Ensures pipeline sustainability.</w:t>
      </w:r>
    </w:p>
    <w:p>
      <w:pPr>
        <w:pStyle w:val="ListParagraph"/>
        <w:numPr>
          <w:ilvl w:val="0"/>
          <w:numId w:val="1"/>
        </w:numPr>
      </w:pPr>
      <w:r>
        <w:rPr>
          <w:rFonts w:ascii="Arial" w:cs="Arial" w:eastAsia="Arial" w:hAnsi="Arial"/>
          <w:b/>
          <w:bCs/>
          <w:sz w:val="24"/>
          <w:szCs w:val="24"/>
        </w:rPr>
        <w:t xml:space="preserve">Growth Portfolio Contribution (GPC):</w:t>
      </w:r>
      <w:r>
        <w:rPr>
          <w:rFonts w:ascii="Arial" w:cs="Arial" w:eastAsia="Arial" w:hAnsi="Arial"/>
          <w:sz w:val="24"/>
          <w:szCs w:val="24"/>
        </w:rPr>
        <w:t xml:space="preserve"> % of company revenue from products launched in past 5 years. Measures BD's impact on top-line growth.</w:t>
      </w:r>
    </w:p>
    <w:p/>
    <w:p>
      <w:pPr>
        <w:pStyle w:val="Heading2"/>
      </w:pPr>
      <w:r>
        <w:t xml:space="preserve">12. Long-Term BD Vision</w:t>
      </w:r>
    </w:p>
    <w:p>
      <w:r>
        <w:t xml:space="preserve">Paul's 10-year vision for BMS BD is ambitious, anchored in neuroscience transformation and sustainable growth through partnerships.</w:t>
      </w:r>
    </w:p>
    <w:p>
      <w:pPr>
        <w:pStyle w:val="ListParagraph"/>
        <w:numPr>
          <w:ilvl w:val="0"/>
          <w:numId w:val="1"/>
        </w:numPr>
      </w:pPr>
      <w:r>
        <w:rPr>
          <w:rFonts w:ascii="Arial" w:cs="Arial" w:eastAsia="Arial" w:hAnsi="Arial"/>
          <w:b/>
          <w:bCs/>
          <w:sz w:val="24"/>
          <w:szCs w:val="24"/>
        </w:rPr>
        <w:t xml:space="preserve">Sustain Top-Tier Sustainable Growth:</w:t>
      </w:r>
      <w:r>
        <w:rPr>
          <w:rFonts w:ascii="Arial" w:cs="Arial" w:eastAsia="Arial" w:hAnsi="Arial"/>
          <w:sz w:val="24"/>
          <w:szCs w:val="24"/>
        </w:rPr>
        <w:t xml:space="preserve"> Offset patent cliff through continuous BD inflow. Target $80B+ revenue by 2034 (vs. ~$46B in 2024) via mix of organic + inorganic growth.</w:t>
      </w:r>
    </w:p>
    <w:p>
      <w:pPr>
        <w:pStyle w:val="ListParagraph"/>
        <w:numPr>
          <w:ilvl w:val="0"/>
          <w:numId w:val="1"/>
        </w:numPr>
      </w:pPr>
      <w:r>
        <w:rPr>
          <w:rFonts w:ascii="Arial" w:cs="Arial" w:eastAsia="Arial" w:hAnsi="Arial"/>
          <w:b/>
          <w:bCs/>
          <w:sz w:val="24"/>
          <w:szCs w:val="24"/>
        </w:rPr>
        <w:t xml:space="preserve">Build Neuroscience into Major Pillar:</w:t>
      </w:r>
      <w:r>
        <w:rPr>
          <w:rFonts w:ascii="Arial" w:cs="Arial" w:eastAsia="Arial" w:hAnsi="Arial"/>
          <w:sz w:val="24"/>
          <w:szCs w:val="24"/>
        </w:rPr>
        <w:t xml:space="preserve"> Rival oncology and immunology. Cobenfy, anti-amyloid, anti-tau, MDD/anxiety, neuroimmunology become $30B+ revenue contributor by 2034.</w:t>
      </w:r>
    </w:p>
    <w:p>
      <w:pPr>
        <w:pStyle w:val="ListParagraph"/>
        <w:numPr>
          <w:ilvl w:val="0"/>
          <w:numId w:val="1"/>
        </w:numPr>
      </w:pPr>
      <w:r>
        <w:rPr>
          <w:rFonts w:ascii="Arial" w:cs="Arial" w:eastAsia="Arial" w:hAnsi="Arial"/>
          <w:b/>
          <w:bCs/>
          <w:sz w:val="24"/>
          <w:szCs w:val="24"/>
        </w:rPr>
        <w:t xml:space="preserve">Maintain Center of Biotech Ecosystem Position:</w:t>
      </w:r>
      <w:r>
        <w:rPr>
          <w:rFonts w:ascii="Arial" w:cs="Arial" w:eastAsia="Arial" w:hAnsi="Arial"/>
          <w:sz w:val="24"/>
          <w:szCs w:val="24"/>
        </w:rPr>
        <w:t xml:space="preserve"> Continue to be the 'go-to' partner for transformational neuroscience startups. Preserve 20/23 hit rate from collaborations.</w:t>
      </w:r>
    </w:p>
    <w:p>
      <w:pPr>
        <w:pStyle w:val="ListParagraph"/>
        <w:numPr>
          <w:ilvl w:val="0"/>
          <w:numId w:val="1"/>
        </w:numPr>
      </w:pPr>
      <w:r>
        <w:rPr>
          <w:rFonts w:ascii="Arial" w:cs="Arial" w:eastAsia="Arial" w:hAnsi="Arial"/>
          <w:b/>
          <w:bCs/>
          <w:sz w:val="24"/>
          <w:szCs w:val="24"/>
        </w:rPr>
        <w:t xml:space="preserve">Deliver Cobenfy as Multi-Billion Franchise:</w:t>
      </w:r>
      <w:r>
        <w:rPr>
          <w:rFonts w:ascii="Arial" w:cs="Arial" w:eastAsia="Arial" w:hAnsi="Arial"/>
          <w:sz w:val="24"/>
          <w:szCs w:val="24"/>
        </w:rPr>
        <w:t xml:space="preserve"> Scale schizophrenia label; expand to Alzheimer's psychosis, bipolar, ASD, MDD. Peak sales $4B–$6B globally by 2032.</w:t>
      </w:r>
    </w:p>
    <w:p>
      <w:pPr>
        <w:pStyle w:val="ListParagraph"/>
        <w:numPr>
          <w:ilvl w:val="0"/>
          <w:numId w:val="1"/>
        </w:numPr>
      </w:pPr>
      <w:r>
        <w:rPr>
          <w:rFonts w:ascii="Arial" w:cs="Arial" w:eastAsia="Arial" w:hAnsi="Arial"/>
          <w:b/>
          <w:bCs/>
          <w:sz w:val="24"/>
          <w:szCs w:val="24"/>
        </w:rPr>
        <w:t xml:space="preserve">Continue 'Broad Net' BD Approach:</w:t>
      </w:r>
      <w:r>
        <w:rPr>
          <w:rFonts w:ascii="Arial" w:cs="Arial" w:eastAsia="Arial" w:hAnsi="Arial"/>
          <w:sz w:val="24"/>
          <w:szCs w:val="24"/>
        </w:rPr>
        <w:t xml:space="preserve"> Don't retreat to blockbuster hunting. Maintain 75+ active partnerships; diversify across therapeutic areas, mechanisms, geographies. Reduce single-asset risk.</w:t>
      </w:r>
    </w:p>
    <w:p>
      <w:pPr>
        <w:pStyle w:val="ListParagraph"/>
        <w:numPr>
          <w:ilvl w:val="0"/>
          <w:numId w:val="1"/>
        </w:numPr>
      </w:pPr>
      <w:r>
        <w:rPr>
          <w:rFonts w:ascii="Arial" w:cs="Arial" w:eastAsia="Arial" w:hAnsi="Arial"/>
          <w:b/>
          <w:bCs/>
          <w:sz w:val="24"/>
          <w:szCs w:val="24"/>
        </w:rPr>
        <w:t xml:space="preserve">Advance Precision Neuromedicine:</w:t>
      </w:r>
      <w:r>
        <w:rPr>
          <w:rFonts w:ascii="Arial" w:cs="Arial" w:eastAsia="Arial" w:hAnsi="Arial"/>
          <w:sz w:val="24"/>
          <w:szCs w:val="24"/>
        </w:rPr>
        <w:t xml:space="preserve"> Blood biomarkers, genetic testing, imaging biomarkers drive patient stratification. Increase clinical trial success, reduce time to market, improve patient outcomes.</w:t>
      </w:r>
    </w:p>
    <w:p/>
    <w:p>
      <w:pPr>
        <w:pStyle w:val="Heading2"/>
      </w:pPr>
      <w:r>
        <w:t xml:space="preserve">Closing Notes</w:t>
      </w:r>
    </w:p>
    <w:p>
      <w:r>
        <w:t xml:space="preserve">Dr. Paul Hargrove exemplifies modern pharma BD leadership: data-driven, transparent, ambitious, and relentlessly focused on patient impact. His track record ($30B in deals, 75+ active partnerships) and consultative style make him a formidable partner. Biotech founders and CEOs value his directness, speed, and willingness to customize deals. While he faces real pressures (patent cliff, Cobenfy ramp, integration bandwidth), his commitment to neuroscience as a strategic pillar and his 'broad net' partnership philosophy position BMS—and his external partners—for sustained success in the decade ahead.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2026-02-18T13:40:48.694Z</dcterms:created>
  <dcterms:modified xsi:type="dcterms:W3CDTF">2026-02-18T13:40:48.694Z</dcterms:modified>
</cp:coreProperties>
</file>

<file path=docProps/custom.xml><?xml version="1.0" encoding="utf-8"?>
<Properties xmlns="http://schemas.openxmlformats.org/officeDocument/2006/custom-properties" xmlns:vt="http://schemas.openxmlformats.org/officeDocument/2006/docPropsVTypes"/>
</file>