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BioMarin Pharmaceutical BD Persona</w:t>
      </w:r>
    </w:p>
    <w:p>
      <w:pPr>
        <w:spacing w:after="200"/>
        <w:jc w:val="center"/>
      </w:pPr>
      <w:r>
        <w:t xml:space="preserve">Dr. James Chen, MD, PhD | EVP, Chief Business Officer</w:t>
      </w:r>
    </w:p>
    <w:p>
      <w:pPr>
        <w:spacing w:after="400"/>
        <w:jc w:val="center"/>
      </w:pPr>
      <w:r>
        <w:t xml:space="preserve">San Rafael, CA</w:t>
      </w:r>
    </w:p>
    <w:p>
      <w:pPr>
        <w:pStyle w:val="Heading2"/>
        <w:spacing w:before="200" w:after="200"/>
      </w:pPr>
      <w:r>
        <w:t xml:space="preserve">1. Core Identity &amp; BD Philosophy</w:t>
      </w:r>
    </w:p>
    <w:p>
      <w:pPr>
        <w:spacing w:after="200"/>
      </w:pPr>
      <w:r>
        <w:t xml:space="preserve">Dr. Chen is a rare disease specialist with 28 years of heritage in the industry, viewing internal and external innovation on the same plane and evaluating all opportunities through BioMarin's proprietary Core 5 evaluation framework. He embodies a philosophy of 'doubling down on partnerships' and has positioned BioMarin for unprecedented M&amp;A velocity.</w:t>
      </w:r>
    </w:p>
    <w:p>
      <w:pPr>
        <w:spacing w:before="100" w:after="100"/>
      </w:pPr>
      <w:r>
        <w:t xml:space="preserve">Key Metrics &amp; Achievements:</w:t>
      </w:r>
    </w:p>
    <w:p>
      <w:pPr>
        <w:pStyle w:val="ListParagraph"/>
        <w:numPr>
          <w:ilvl w:val="0"/>
          <w:numId w:val="1"/>
        </w:numPr>
        <w:spacing w:after="100"/>
      </w:pPr>
      <w:r>
        <w:t xml:space="preserve">10 deals closed in 2025 (highest volume since 2010)</w:t>
      </w:r>
    </w:p>
    <w:p>
      <w:pPr>
        <w:pStyle w:val="ListParagraph"/>
        <w:numPr>
          <w:ilvl w:val="0"/>
          <w:numId w:val="1"/>
        </w:numPr>
        <w:spacing w:after="100"/>
      </w:pPr>
      <w:r>
        <w:t xml:space="preserve">$4-5B in identified 'firepower' for acquisitions</w:t>
      </w:r>
    </w:p>
    <w:p>
      <w:pPr>
        <w:pStyle w:val="ListParagraph"/>
        <w:numPr>
          <w:ilvl w:val="0"/>
          <w:numId w:val="1"/>
        </w:numPr>
        <w:spacing w:after="100"/>
      </w:pPr>
      <w:r>
        <w:t xml:space="preserve">Targeting $1.5B price range for individual strategic assets</w:t>
      </w:r>
    </w:p>
    <w:p>
      <w:pPr>
        <w:pStyle w:val="ListParagraph"/>
        <w:numPr>
          <w:ilvl w:val="0"/>
          <w:numId w:val="1"/>
        </w:numPr>
        <w:spacing w:after="300"/>
      </w:pPr>
      <w:r>
        <w:t xml:space="preserve">Genentech/Roche pedigree leadership (draws mentorship from CEO Jean-Paul Hardy and former Roche Partnering Chief James Sabry)</w:t>
      </w:r>
    </w:p>
    <w:p>
      <w:pPr>
        <w:pStyle w:val="Heading2"/>
        <w:spacing w:before="200" w:after="200"/>
      </w:pPr>
      <w:r>
        <w:t xml:space="preserve">2. Alignment with BioMarin BD Strategy</w:t>
      </w:r>
    </w:p>
    <w:p>
      <w:pPr>
        <w:spacing w:before="100" w:after="100"/>
      </w:pPr>
      <w:r>
        <w:t xml:space="preserve">Core 5 Evaluation Framework:</w:t>
      </w:r>
    </w:p>
    <w:p>
      <w:pPr>
        <w:pStyle w:val="ListParagraph"/>
        <w:numPr>
          <w:ilvl w:val="0"/>
          <w:numId w:val="1"/>
        </w:numPr>
        <w:spacing w:after="100"/>
      </w:pPr>
      <w:r>
        <w:t xml:space="preserve">Genetically defined populations with clear molecular targets</w:t>
      </w:r>
    </w:p>
    <w:p>
      <w:pPr>
        <w:pStyle w:val="ListParagraph"/>
        <w:numPr>
          <w:ilvl w:val="0"/>
          <w:numId w:val="1"/>
        </w:numPr>
        <w:spacing w:after="100"/>
      </w:pPr>
      <w:r>
        <w:t xml:space="preserve">Targeted therapeutics with defined mechanisms of action</w:t>
      </w:r>
    </w:p>
    <w:p>
      <w:pPr>
        <w:pStyle w:val="ListParagraph"/>
        <w:numPr>
          <w:ilvl w:val="0"/>
          <w:numId w:val="1"/>
        </w:numPr>
        <w:spacing w:after="100"/>
      </w:pPr>
      <w:r>
        <w:t xml:space="preserve">Assessable endpoints enabling rigorous clinical evaluation</w:t>
      </w:r>
    </w:p>
    <w:p>
      <w:pPr>
        <w:pStyle w:val="ListParagraph"/>
        <w:numPr>
          <w:ilvl w:val="0"/>
          <w:numId w:val="1"/>
        </w:numPr>
        <w:spacing w:after="100"/>
      </w:pPr>
      <w:r>
        <w:t xml:space="preserve">Transformational impact on patient outcomes</w:t>
      </w:r>
    </w:p>
    <w:p>
      <w:pPr>
        <w:pStyle w:val="ListParagraph"/>
        <w:numPr>
          <w:ilvl w:val="0"/>
          <w:numId w:val="1"/>
        </w:numPr>
        <w:spacing w:after="300"/>
      </w:pPr>
      <w:r>
        <w:t xml:space="preserve">Commercially competitive positioning in target markets</w:t>
      </w:r>
    </w:p>
    <w:p>
      <w:pPr>
        <w:spacing w:before="100" w:after="100"/>
      </w:pPr>
      <w:r>
        <w:t xml:space="preserve">Recent Strategic Transactions:</w:t>
      </w:r>
    </w:p>
    <w:p>
      <w:pPr>
        <w:pStyle w:val="ListParagraph"/>
        <w:numPr>
          <w:ilvl w:val="0"/>
          <w:numId w:val="1"/>
        </w:numPr>
        <w:spacing w:after="100"/>
      </w:pPr>
      <w:r>
        <w:t xml:space="preserve">Amicus Therapeutics ($4.8B) – largest acquisition in company history, expanding enzyme replacement therapy portfolio</w:t>
      </w:r>
    </w:p>
    <w:p>
      <w:pPr>
        <w:pStyle w:val="ListParagraph"/>
        <w:numPr>
          <w:ilvl w:val="0"/>
          <w:numId w:val="1"/>
        </w:numPr>
        <w:spacing w:after="100"/>
      </w:pPr>
      <w:r>
        <w:t xml:space="preserve">Inozyme Pharma ($270M) – late-stage gene therapy for genetic skeletal disorders</w:t>
      </w:r>
    </w:p>
    <w:p>
      <w:pPr>
        <w:pStyle w:val="ListParagraph"/>
        <w:numPr>
          <w:ilvl w:val="0"/>
          <w:numId w:val="1"/>
        </w:numPr>
        <w:spacing w:after="100"/>
      </w:pPr>
      <w:r>
        <w:t xml:space="preserve">Deep Genomics partnership – AI-enabled oligonucleotide discovery platform</w:t>
      </w:r>
    </w:p>
    <w:p>
      <w:pPr>
        <w:pStyle w:val="ListParagraph"/>
        <w:numPr>
          <w:ilvl w:val="0"/>
          <w:numId w:val="1"/>
        </w:numPr>
        <w:spacing w:after="100"/>
      </w:pPr>
      <w:r>
        <w:t xml:space="preserve">DiNAQOR acquisition – innovative gene therapy for cardiac conditions</w:t>
      </w:r>
    </w:p>
    <w:p>
      <w:pPr>
        <w:pStyle w:val="ListParagraph"/>
        <w:numPr>
          <w:ilvl w:val="0"/>
          <w:numId w:val="1"/>
        </w:numPr>
        <w:spacing w:after="100"/>
      </w:pPr>
      <w:r>
        <w:t xml:space="preserve">Roctavian divestment – strategic exit from non-core gene therapy assets due to commercial underperformance</w:t>
      </w:r>
    </w:p>
    <w:p>
      <w:pPr>
        <w:pStyle w:val="ListParagraph"/>
        <w:numPr>
          <w:ilvl w:val="0"/>
          <w:numId w:val="1"/>
        </w:numPr>
        <w:spacing w:after="300"/>
      </w:pPr>
      <w:r>
        <w:t xml:space="preserve">155 partnership meetings at JPM 2025 – highest engagement volume demonstrating BD momentum</w:t>
      </w:r>
    </w:p>
    <w:p>
      <w:pPr>
        <w:pStyle w:val="Heading2"/>
        <w:spacing w:before="200" w:after="200"/>
      </w:pPr>
      <w:r>
        <w:t xml:space="preserve">3. Professional Background</w:t>
      </w:r>
    </w:p>
    <w:p>
      <w:pPr>
        <w:spacing w:after="200"/>
      </w:pPr>
      <w:r>
        <w:t xml:space="preserve">Dr. Chen holds both MD and PhD degrees and brings 28 years of progressive experience in pharmaceutical business development, clinical leadership, and scientific innovation. His career trajectory reflects deep expertise in rare disease strategy and transformational transactions.</w:t>
      </w:r>
    </w:p>
    <w:p>
      <w:pPr>
        <w:spacing w:before="100" w:after="100"/>
      </w:pPr>
      <w:r>
        <w:t xml:space="preserve">Career Highlights:</w:t>
      </w:r>
    </w:p>
    <w:p>
      <w:pPr>
        <w:pStyle w:val="ListParagraph"/>
        <w:numPr>
          <w:ilvl w:val="0"/>
          <w:numId w:val="1"/>
        </w:numPr>
        <w:spacing w:after="100"/>
      </w:pPr>
      <w:r>
        <w:t xml:space="preserve">14 years at Roche/Genentech in increasingly senior BD and R&amp;D roles (James Sabry-inspired trajectory)</w:t>
      </w:r>
    </w:p>
    <w:p>
      <w:pPr>
        <w:pStyle w:val="ListParagraph"/>
        <w:numPr>
          <w:ilvl w:val="0"/>
          <w:numId w:val="1"/>
        </w:numPr>
        <w:spacing w:after="100"/>
      </w:pPr>
      <w:r>
        <w:t xml:space="preserve">Evaluated 1,200+ potential transactions across diverse therapeutic areas</w:t>
      </w:r>
    </w:p>
    <w:p>
      <w:pPr>
        <w:pStyle w:val="ListParagraph"/>
        <w:numPr>
          <w:ilvl w:val="0"/>
          <w:numId w:val="1"/>
        </w:numPr>
        <w:spacing w:after="100"/>
      </w:pPr>
      <w:r>
        <w:t xml:space="preserve">Co-founder and Chief Scientific Officer of boutique biotech company (acquired)</w:t>
      </w:r>
    </w:p>
    <w:p>
      <w:pPr>
        <w:pStyle w:val="ListParagraph"/>
        <w:numPr>
          <w:ilvl w:val="0"/>
          <w:numId w:val="1"/>
        </w:numPr>
        <w:spacing w:after="100"/>
      </w:pPr>
      <w:r>
        <w:t xml:space="preserve">Faculty appointments at UCSF and Harvard Medical School focusing on rare genetic diseases</w:t>
      </w:r>
    </w:p>
    <w:p>
      <w:pPr>
        <w:pStyle w:val="ListParagraph"/>
        <w:numPr>
          <w:ilvl w:val="0"/>
          <w:numId w:val="1"/>
        </w:numPr>
        <w:spacing w:after="300"/>
      </w:pPr>
      <w:r>
        <w:t xml:space="preserve">Recognized by industry peers as 'one of the industry's most astute dealmakers' combining scientific depth with commercial acumen</w:t>
      </w:r>
    </w:p>
    <w:p>
      <w:pPr>
        <w:pStyle w:val="Heading2"/>
        <w:spacing w:before="200" w:after="200"/>
      </w:pPr>
      <w:r>
        <w:t xml:space="preserve">4. Strategic BD Priorities</w:t>
      </w:r>
    </w:p>
    <w:p>
      <w:pPr>
        <w:spacing w:after="200"/>
      </w:pPr>
      <w:r>
        <w:t xml:space="preserve">Dr. Chen's BD strategy focuses on disciplined expansion within defined therapeutic areas where BioMarin can achieve market leadership and drive transformational patient impact.</w:t>
      </w:r>
    </w:p>
    <w:p>
      <w:pPr>
        <w:pStyle w:val="ListParagraph"/>
        <w:numPr>
          <w:ilvl w:val="0"/>
          <w:numId w:val="1"/>
        </w:numPr>
        <w:spacing w:after="50"/>
      </w:pPr>
      <w:r>
        <w:t xml:space="preserve">Enzyme Replacement Therapy (ERT) Expansion</w:t>
      </w:r>
    </w:p>
    <w:p>
      <w:pPr>
        <w:pStyle w:val="ListParagraph"/>
        <w:numPr>
          <w:ilvl w:val="1"/>
          <w:numId w:val="1"/>
        </w:numPr>
        <w:spacing w:after="100"/>
      </w:pPr>
      <w:r>
        <w:t xml:space="preserve">Leveraging BioMarin's 20+ year heritage in ERT to acquire complementary programs and expand addressable market reach</w:t>
      </w:r>
    </w:p>
    <w:p>
      <w:pPr>
        <w:pStyle w:val="ListParagraph"/>
        <w:numPr>
          <w:ilvl w:val="0"/>
          <w:numId w:val="1"/>
        </w:numPr>
        <w:spacing w:after="50"/>
      </w:pPr>
      <w:r>
        <w:t xml:space="preserve">Skeletal Condition Portfolio Growth</w:t>
      </w:r>
    </w:p>
    <w:p>
      <w:pPr>
        <w:pStyle w:val="ListParagraph"/>
        <w:numPr>
          <w:ilvl w:val="1"/>
          <w:numId w:val="1"/>
        </w:numPr>
        <w:spacing w:after="100"/>
      </w:pPr>
      <w:r>
        <w:t xml:space="preserve">Focused expansion of VOXZOGO franchise and adjacent skeletal genetic disorders through targeted M&amp;A</w:t>
      </w:r>
    </w:p>
    <w:p>
      <w:pPr>
        <w:pStyle w:val="ListParagraph"/>
        <w:numPr>
          <w:ilvl w:val="0"/>
          <w:numId w:val="1"/>
        </w:numPr>
        <w:spacing w:after="50"/>
      </w:pPr>
      <w:r>
        <w:t xml:space="preserve">Neurological Rare Disease Development</w:t>
      </w:r>
    </w:p>
    <w:p>
      <w:pPr>
        <w:pStyle w:val="ListParagraph"/>
        <w:numPr>
          <w:ilvl w:val="1"/>
          <w:numId w:val="1"/>
        </w:numPr>
        <w:spacing w:after="100"/>
      </w:pPr>
      <w:r>
        <w:t xml:space="preserve">BMN 351 program for Duchenne Muscular Dystrophy (DMD) and oligonucleotide platform expansion for neuromuscular conditions</w:t>
      </w:r>
    </w:p>
    <w:p>
      <w:pPr>
        <w:pStyle w:val="ListParagraph"/>
        <w:numPr>
          <w:ilvl w:val="0"/>
          <w:numId w:val="1"/>
        </w:numPr>
        <w:spacing w:after="50"/>
      </w:pPr>
      <w:r>
        <w:t xml:space="preserve">Gene Therapy Selective Expansion</w:t>
      </w:r>
    </w:p>
    <w:p>
      <w:pPr>
        <w:pStyle w:val="ListParagraph"/>
        <w:numPr>
          <w:ilvl w:val="1"/>
          <w:numId w:val="1"/>
        </w:numPr>
        <w:spacing w:after="100"/>
      </w:pPr>
      <w:r>
        <w:t xml:space="preserve">Strategic partnerships with centers of excellence like Allen Institute to develop next-generation gene therapy approaches for rare cardiac and neurological conditions</w:t>
      </w:r>
    </w:p>
    <w:p>
      <w:pPr>
        <w:pStyle w:val="ListParagraph"/>
        <w:numPr>
          <w:ilvl w:val="0"/>
          <w:numId w:val="1"/>
        </w:numPr>
        <w:spacing w:after="50"/>
      </w:pPr>
      <w:r>
        <w:t xml:space="preserve">Fill Rare Disease Portfolio Gaps</w:t>
      </w:r>
    </w:p>
    <w:p>
      <w:pPr>
        <w:pStyle w:val="ListParagraph"/>
        <w:numPr>
          <w:ilvl w:val="1"/>
          <w:numId w:val="1"/>
        </w:numPr>
        <w:spacing w:after="300"/>
      </w:pPr>
      <w:r>
        <w:t xml:space="preserve">Identify underserved rare genetic diseases with clear unmet medical needs, defined patient populations, and favorable regulatory pathways</w:t>
      </w:r>
    </w:p>
    <w:p>
      <w:pPr>
        <w:pStyle w:val="Heading2"/>
        <w:spacing w:before="200" w:after="200"/>
      </w:pPr>
      <w:r>
        <w:t xml:space="preserve">5. Decision-Making Framework</w:t>
      </w:r>
    </w:p>
    <w:p>
      <w:pPr>
        <w:spacing w:after="200"/>
      </w:pPr>
      <w:r>
        <w:t xml:space="preserve">Dr. Chen applies Core 5 principles uniformly to internal and external innovation, with unwavering discipline regarding financial and strategic fit criteria.</w:t>
      </w:r>
    </w:p>
    <w:p>
      <w:pPr>
        <w:spacing w:before="100" w:after="100"/>
      </w:pPr>
      <w:r>
        <w:t xml:space="preserve">Core Evaluation Criteria:</w:t>
      </w:r>
    </w:p>
    <w:p>
      <w:pPr>
        <w:pStyle w:val="ListParagraph"/>
        <w:numPr>
          <w:ilvl w:val="0"/>
          <w:numId w:val="1"/>
        </w:numPr>
        <w:spacing w:after="100"/>
      </w:pPr>
      <w:r>
        <w:t xml:space="preserve">Emphasis on genetically defined populations with measurable clinical endpoints – no ambiguous target populations</w:t>
      </w:r>
    </w:p>
    <w:p>
      <w:pPr>
        <w:pStyle w:val="ListParagraph"/>
        <w:numPr>
          <w:ilvl w:val="0"/>
          <w:numId w:val="1"/>
        </w:numPr>
        <w:spacing w:after="100"/>
      </w:pPr>
      <w:r>
        <w:t xml:space="preserve">Financial targets: accretive to earnings within 12 months, substantially accretive by 2027</w:t>
      </w:r>
    </w:p>
    <w:p>
      <w:pPr>
        <w:pStyle w:val="ListParagraph"/>
        <w:numPr>
          <w:ilvl w:val="0"/>
          <w:numId w:val="1"/>
        </w:numPr>
        <w:spacing w:after="100"/>
      </w:pPr>
      <w:r>
        <w:t xml:space="preserve">Rapid execution capability and willingness to walk away – Inozyme closed in less than 2 months</w:t>
      </w:r>
    </w:p>
    <w:p>
      <w:pPr>
        <w:pStyle w:val="ListParagraph"/>
        <w:numPr>
          <w:ilvl w:val="0"/>
          <w:numId w:val="1"/>
        </w:numPr>
        <w:spacing w:after="100"/>
      </w:pPr>
      <w:r>
        <w:t xml:space="preserve">Partner scientific leadership quality is non-negotiable – insists on world-class R&amp;D teams</w:t>
      </w:r>
    </w:p>
    <w:p>
      <w:pPr>
        <w:pStyle w:val="ListParagraph"/>
        <w:numPr>
          <w:ilvl w:val="0"/>
          <w:numId w:val="1"/>
        </w:numPr>
        <w:spacing w:after="300"/>
      </w:pPr>
      <w:r>
        <w:t xml:space="preserve">Strategic alignment with BioMarin's long-term vision – mid-term acquisitions vs. one-off deals</w:t>
      </w:r>
    </w:p>
    <w:p>
      <w:pPr>
        <w:pStyle w:val="Heading2"/>
        <w:spacing w:before="200" w:after="200"/>
      </w:pPr>
      <w:r>
        <w:t xml:space="preserve">6. View on Deal Structures &amp; Partnerships</w:t>
      </w:r>
    </w:p>
    <w:p>
      <w:pPr>
        <w:spacing w:before="100" w:after="100"/>
      </w:pPr>
      <w:r>
        <w:t xml:space="preserve">Deal Preferences:</w:t>
      </w:r>
    </w:p>
    <w:p>
      <w:pPr>
        <w:pStyle w:val="ListParagraph"/>
        <w:numPr>
          <w:ilvl w:val="0"/>
          <w:numId w:val="1"/>
        </w:numPr>
        <w:spacing w:after="100"/>
      </w:pPr>
      <w:r>
        <w:t xml:space="preserve">Late-stage bias – prefers Phase 2/3 clinical or near-commercial stage assets to minimize development risk</w:t>
      </w:r>
    </w:p>
    <w:p>
      <w:pPr>
        <w:pStyle w:val="ListParagraph"/>
        <w:numPr>
          <w:ilvl w:val="0"/>
          <w:numId w:val="1"/>
        </w:numPr>
        <w:spacing w:after="100"/>
      </w:pPr>
      <w:r>
        <w:t xml:space="preserve">Option/milestone-heavy structures with meaningful upfront payments plus royalty participation</w:t>
      </w:r>
    </w:p>
    <w:p>
      <w:pPr>
        <w:pStyle w:val="ListParagraph"/>
        <w:numPr>
          <w:ilvl w:val="0"/>
          <w:numId w:val="1"/>
        </w:numPr>
        <w:spacing w:after="100"/>
      </w:pPr>
      <w:r>
        <w:t xml:space="preserve">Equity co-investment opportunities in established biotech partners to align long-term incentives</w:t>
      </w:r>
    </w:p>
    <w:p>
      <w:pPr>
        <w:pStyle w:val="ListParagraph"/>
        <w:numPr>
          <w:ilvl w:val="0"/>
          <w:numId w:val="1"/>
        </w:numPr>
        <w:spacing w:after="100"/>
      </w:pPr>
      <w:r>
        <w:t xml:space="preserve">Exclusive development and commercialization rights are mandatory – shared rights create complexity</w:t>
      </w:r>
    </w:p>
    <w:p>
      <w:pPr>
        <w:pStyle w:val="ListParagraph"/>
        <w:numPr>
          <w:ilvl w:val="0"/>
          <w:numId w:val="1"/>
        </w:numPr>
        <w:spacing w:after="100"/>
      </w:pPr>
      <w:r>
        <w:t xml:space="preserve">Full M&amp;A preferred for portfolio consolidation and integration of complementary R&amp;D capabilities</w:t>
      </w:r>
    </w:p>
    <w:p>
      <w:pPr>
        <w:pStyle w:val="ListParagraph"/>
        <w:numPr>
          <w:ilvl w:val="0"/>
          <w:numId w:val="1"/>
        </w:numPr>
        <w:spacing w:after="100"/>
      </w:pPr>
      <w:r>
        <w:t xml:space="preserve">AI-enabled discovery partnerships (e.g., Deep Genomics) for platform-level opportunities expanding therapeutic reach</w:t>
      </w:r>
    </w:p>
    <w:p>
      <w:pPr>
        <w:pStyle w:val="ListParagraph"/>
        <w:numPr>
          <w:ilvl w:val="0"/>
          <w:numId w:val="1"/>
        </w:numPr>
        <w:spacing w:after="300"/>
      </w:pPr>
      <w:r>
        <w:t xml:space="preserve">Willing to divest non-core assets and exit underperforming programs (e.g., Roctavian divestment) to refocus on strategic priorities</w:t>
      </w:r>
    </w:p>
    <w:p>
      <w:pPr>
        <w:pStyle w:val="Heading2"/>
        <w:spacing w:before="200" w:after="200"/>
      </w:pPr>
      <w:r>
        <w:t xml:space="preserve">7. Pain Points &amp; Frustrations</w:t>
      </w:r>
    </w:p>
    <w:p>
      <w:pPr>
        <w:pStyle w:val="ListParagraph"/>
        <w:numPr>
          <w:ilvl w:val="0"/>
          <w:numId w:val="1"/>
        </w:numPr>
        <w:spacing w:after="50"/>
      </w:pPr>
      <w:r>
        <w:t xml:space="preserve">Roctavian Commercial Underperformance</w:t>
      </w:r>
    </w:p>
    <w:p>
      <w:pPr>
        <w:pStyle w:val="ListParagraph"/>
        <w:numPr>
          <w:ilvl w:val="1"/>
          <w:numId w:val="1"/>
        </w:numPr>
        <w:spacing w:after="100"/>
      </w:pPr>
      <w:r>
        <w:t xml:space="preserve">~$26M in actual revenue vs. expectations of $100M+, highlighting execution challenges in gene therapy commercialization</w:t>
      </w:r>
    </w:p>
    <w:p>
      <w:pPr>
        <w:pStyle w:val="ListParagraph"/>
        <w:numPr>
          <w:ilvl w:val="0"/>
          <w:numId w:val="1"/>
        </w:numPr>
        <w:spacing w:after="50"/>
      </w:pPr>
      <w:r>
        <w:t xml:space="preserve">Gene Therapy Execution Risk</w:t>
      </w:r>
    </w:p>
    <w:p>
      <w:pPr>
        <w:pStyle w:val="ListParagraph"/>
        <w:numPr>
          <w:ilvl w:val="1"/>
          <w:numId w:val="1"/>
        </w:numPr>
        <w:spacing w:after="100"/>
      </w:pPr>
      <w:r>
        <w:t xml:space="preserve">Manufacturing complexity, patient selection criteria, and reimbursement challenges creating headwinds</w:t>
      </w:r>
    </w:p>
    <w:p>
      <w:pPr>
        <w:pStyle w:val="ListParagraph"/>
        <w:numPr>
          <w:ilvl w:val="0"/>
          <w:numId w:val="1"/>
        </w:numPr>
        <w:spacing w:after="50"/>
      </w:pPr>
      <w:r>
        <w:t xml:space="preserve">New Leadership Transition Risk</w:t>
      </w:r>
    </w:p>
    <w:p>
      <w:pPr>
        <w:pStyle w:val="ListParagraph"/>
        <w:numPr>
          <w:ilvl w:val="1"/>
          <w:numId w:val="1"/>
        </w:numPr>
        <w:spacing w:after="100"/>
      </w:pPr>
      <w:r>
        <w:t xml:space="preserve">Ensuring continuity of BD strategy and deal momentum during senior management transitions</w:t>
      </w:r>
    </w:p>
    <w:p>
      <w:pPr>
        <w:pStyle w:val="ListParagraph"/>
        <w:numPr>
          <w:ilvl w:val="0"/>
          <w:numId w:val="1"/>
        </w:numPr>
        <w:spacing w:after="50"/>
      </w:pPr>
      <w:r>
        <w:t xml:space="preserve">Portfolio Focus Shift Uncertainty</w:t>
      </w:r>
    </w:p>
    <w:p>
      <w:pPr>
        <w:pStyle w:val="ListParagraph"/>
        <w:numPr>
          <w:ilvl w:val="1"/>
          <w:numId w:val="1"/>
        </w:numPr>
        <w:spacing w:after="100"/>
      </w:pPr>
      <w:r>
        <w:t xml:space="preserve">Balancing focus on traditional ERT legacy business while pivoting toward gene therapy and oligonucleotides</w:t>
      </w:r>
    </w:p>
    <w:p>
      <w:pPr>
        <w:pStyle w:val="ListParagraph"/>
        <w:numPr>
          <w:ilvl w:val="0"/>
          <w:numId w:val="1"/>
        </w:numPr>
        <w:spacing w:after="50"/>
      </w:pPr>
      <w:r>
        <w:t xml:space="preserve">Competitive Pressure on Rare Disease Assets</w:t>
      </w:r>
    </w:p>
    <w:p>
      <w:pPr>
        <w:pStyle w:val="ListParagraph"/>
        <w:numPr>
          <w:ilvl w:val="1"/>
          <w:numId w:val="1"/>
        </w:numPr>
        <w:spacing w:after="100"/>
      </w:pPr>
      <w:r>
        <w:t xml:space="preserve">Increasing number of well-capitalized competitors (Moderna, Vertex) entering rare disease M&amp;A market, driving valuations higher</w:t>
      </w:r>
    </w:p>
    <w:p>
      <w:pPr>
        <w:pStyle w:val="ListParagraph"/>
        <w:numPr>
          <w:ilvl w:val="0"/>
          <w:numId w:val="1"/>
        </w:numPr>
        <w:spacing w:after="50"/>
      </w:pPr>
      <w:r>
        <w:t xml:space="preserve">Deal Momentum Maintenance</w:t>
      </w:r>
    </w:p>
    <w:p>
      <w:pPr>
        <w:pStyle w:val="ListParagraph"/>
        <w:numPr>
          <w:ilvl w:val="1"/>
          <w:numId w:val="1"/>
        </w:numPr>
        <w:spacing w:after="300"/>
      </w:pPr>
      <w:r>
        <w:t xml:space="preserve">Sustaining the record-breaking 2025 deal volume (10 deals) while integrating major acquisitions like Amicus</w:t>
      </w:r>
    </w:p>
    <w:p>
      <w:pPr>
        <w:pStyle w:val="Heading2"/>
        <w:spacing w:before="200" w:after="200"/>
      </w:pPr>
      <w:r>
        <w:t xml:space="preserve">8. What Gets Them Excited</w:t>
      </w:r>
    </w:p>
    <w:p>
      <w:pPr>
        <w:pStyle w:val="ListParagraph"/>
        <w:numPr>
          <w:ilvl w:val="0"/>
          <w:numId w:val="1"/>
        </w:numPr>
        <w:spacing w:after="50"/>
      </w:pPr>
      <w:r>
        <w:t xml:space="preserve">Genetically Defined Rare Diseases</w:t>
      </w:r>
    </w:p>
    <w:p>
      <w:pPr>
        <w:pStyle w:val="ListParagraph"/>
        <w:numPr>
          <w:ilvl w:val="1"/>
          <w:numId w:val="1"/>
        </w:numPr>
        <w:spacing w:after="100"/>
      </w:pPr>
      <w:r>
        <w:t xml:space="preserve">Clear molecular targets with identifiable patient populations and meaningful unmet medical needs</w:t>
      </w:r>
    </w:p>
    <w:p>
      <w:pPr>
        <w:pStyle w:val="ListParagraph"/>
        <w:numPr>
          <w:ilvl w:val="0"/>
          <w:numId w:val="1"/>
        </w:numPr>
        <w:spacing w:after="50"/>
      </w:pPr>
      <w:r>
        <w:t xml:space="preserve">Late-Stage Clinical Assets</w:t>
      </w:r>
    </w:p>
    <w:p>
      <w:pPr>
        <w:pStyle w:val="ListParagraph"/>
        <w:numPr>
          <w:ilvl w:val="1"/>
          <w:numId w:val="1"/>
        </w:numPr>
        <w:spacing w:after="100"/>
      </w:pPr>
      <w:r>
        <w:t xml:space="preserve">De-risked Phase 2/3 programs with clear regulatory pathways and commercial potential</w:t>
      </w:r>
    </w:p>
    <w:p>
      <w:pPr>
        <w:pStyle w:val="ListParagraph"/>
        <w:numPr>
          <w:ilvl w:val="0"/>
          <w:numId w:val="1"/>
        </w:numPr>
        <w:spacing w:after="50"/>
      </w:pPr>
      <w:r>
        <w:t xml:space="preserve">Platform Technologies</w:t>
      </w:r>
    </w:p>
    <w:p>
      <w:pPr>
        <w:pStyle w:val="ListParagraph"/>
        <w:numPr>
          <w:ilvl w:val="1"/>
          <w:numId w:val="1"/>
        </w:numPr>
        <w:spacing w:after="100"/>
      </w:pPr>
      <w:r>
        <w:t xml:space="preserve">Multi-indication capability enabling leverage across multiple rare disease programs (e.g., oligonucleotide platforms)</w:t>
      </w:r>
    </w:p>
    <w:p>
      <w:pPr>
        <w:pStyle w:val="ListParagraph"/>
        <w:numPr>
          <w:ilvl w:val="0"/>
          <w:numId w:val="1"/>
        </w:numPr>
        <w:spacing w:after="50"/>
      </w:pPr>
      <w:r>
        <w:t xml:space="preserve">Enzyme Therapy Pipeline Expansion</w:t>
      </w:r>
    </w:p>
    <w:p>
      <w:pPr>
        <w:pStyle w:val="ListParagraph"/>
        <w:numPr>
          <w:ilvl w:val="1"/>
          <w:numId w:val="1"/>
        </w:numPr>
        <w:spacing w:after="100"/>
      </w:pPr>
      <w:r>
        <w:t xml:space="preserve">Complementary ERT programs leveraging BioMarin's 20+ year manufacturing and commercialization infrastructure</w:t>
      </w:r>
    </w:p>
    <w:p>
      <w:pPr>
        <w:pStyle w:val="ListParagraph"/>
        <w:numPr>
          <w:ilvl w:val="0"/>
          <w:numId w:val="1"/>
        </w:numPr>
        <w:spacing w:after="50"/>
      </w:pPr>
      <w:r>
        <w:t xml:space="preserve">Oligonucleotide Therapeutics</w:t>
      </w:r>
    </w:p>
    <w:p>
      <w:pPr>
        <w:pStyle w:val="ListParagraph"/>
        <w:numPr>
          <w:ilvl w:val="1"/>
          <w:numId w:val="1"/>
        </w:numPr>
        <w:spacing w:after="100"/>
      </w:pPr>
      <w:r>
        <w:t xml:space="preserve">Antisense oligonucleotides and splice modulation approaches for neurological rare diseases (e.g., DMD, SMA variants)</w:t>
      </w:r>
    </w:p>
    <w:p>
      <w:pPr>
        <w:pStyle w:val="ListParagraph"/>
        <w:numPr>
          <w:ilvl w:val="0"/>
          <w:numId w:val="1"/>
        </w:numPr>
        <w:spacing w:after="50"/>
      </w:pPr>
      <w:r>
        <w:t xml:space="preserve">'Clever Science'</w:t>
      </w:r>
    </w:p>
    <w:p>
      <w:pPr>
        <w:pStyle w:val="ListParagraph"/>
        <w:numPr>
          <w:ilvl w:val="1"/>
          <w:numId w:val="1"/>
        </w:numPr>
        <w:spacing w:after="300"/>
      </w:pPr>
      <w:r>
        <w:t xml:space="preserve">Elegant mechanistic solutions to previously intractable rare disease problems, reflecting scientific rigor and innovation</w:t>
      </w:r>
    </w:p>
    <w:p>
      <w:pPr>
        <w:pStyle w:val="Heading2"/>
        <w:spacing w:before="200" w:after="200"/>
      </w:pPr>
      <w:r>
        <w:t xml:space="preserve">9. How They Engage with Biotech</w:t>
      </w:r>
    </w:p>
    <w:p>
      <w:pPr>
        <w:pStyle w:val="ListParagraph"/>
        <w:numPr>
          <w:ilvl w:val="0"/>
          <w:numId w:val="1"/>
        </w:numPr>
        <w:spacing w:after="50"/>
      </w:pPr>
      <w:r>
        <w:t xml:space="preserve">Extensive Meeting Volume</w:t>
      </w:r>
    </w:p>
    <w:p>
      <w:pPr>
        <w:pStyle w:val="ListParagraph"/>
        <w:numPr>
          <w:ilvl w:val="1"/>
          <w:numId w:val="1"/>
        </w:numPr>
        <w:spacing w:after="100"/>
      </w:pPr>
      <w:r>
        <w:t xml:space="preserve">Conducted 155+ partnership meetings at JPM 2025 alone, reflecting aggressive pipeline scanning and deal sourcing</w:t>
      </w:r>
    </w:p>
    <w:p>
      <w:pPr>
        <w:pStyle w:val="ListParagraph"/>
        <w:numPr>
          <w:ilvl w:val="0"/>
          <w:numId w:val="1"/>
        </w:numPr>
        <w:spacing w:after="50"/>
      </w:pPr>
      <w:r>
        <w:t xml:space="preserve">Cross-Functional Evaluation</w:t>
      </w:r>
    </w:p>
    <w:p>
      <w:pPr>
        <w:pStyle w:val="ListParagraph"/>
        <w:numPr>
          <w:ilvl w:val="1"/>
          <w:numId w:val="1"/>
        </w:numPr>
        <w:spacing w:after="100"/>
      </w:pPr>
      <w:r>
        <w:t xml:space="preserve">Requires rigorous input from BD, R&amp;D, clinical, and commercial teams before advancing deals</w:t>
      </w:r>
    </w:p>
    <w:p>
      <w:pPr>
        <w:pStyle w:val="ListParagraph"/>
        <w:numPr>
          <w:ilvl w:val="0"/>
          <w:numId w:val="1"/>
        </w:numPr>
        <w:spacing w:after="50"/>
      </w:pPr>
      <w:r>
        <w:t xml:space="preserve">Rapid Execution</w:t>
      </w:r>
    </w:p>
    <w:p>
      <w:pPr>
        <w:pStyle w:val="ListParagraph"/>
        <w:numPr>
          <w:ilvl w:val="1"/>
          <w:numId w:val="1"/>
        </w:numPr>
        <w:spacing w:after="100"/>
      </w:pPr>
      <w:r>
        <w:t xml:space="preserve">Capable of fast-tracking qualified opportunities – Inozyme example demonstrates ability to close in &lt;2 months</w:t>
      </w:r>
    </w:p>
    <w:p>
      <w:pPr>
        <w:pStyle w:val="ListParagraph"/>
        <w:numPr>
          <w:ilvl w:val="0"/>
          <w:numId w:val="1"/>
        </w:numPr>
        <w:spacing w:after="50"/>
      </w:pPr>
      <w:r>
        <w:t xml:space="preserve">Partner Scientific Team Quality</w:t>
      </w:r>
    </w:p>
    <w:p>
      <w:pPr>
        <w:pStyle w:val="ListParagraph"/>
        <w:numPr>
          <w:ilvl w:val="1"/>
          <w:numId w:val="1"/>
        </w:numPr>
        <w:spacing w:after="100"/>
      </w:pPr>
      <w:r>
        <w:t xml:space="preserve">Places high emphasis on depth of scientific leadership and quality of clinical/research teams at target companies</w:t>
      </w:r>
    </w:p>
    <w:p>
      <w:pPr>
        <w:pStyle w:val="ListParagraph"/>
        <w:numPr>
          <w:ilvl w:val="0"/>
          <w:numId w:val="1"/>
        </w:numPr>
        <w:spacing w:after="50"/>
      </w:pPr>
      <w:r>
        <w:t xml:space="preserve">Core 5 Screening</w:t>
      </w:r>
    </w:p>
    <w:p>
      <w:pPr>
        <w:pStyle w:val="ListParagraph"/>
        <w:numPr>
          <w:ilvl w:val="1"/>
          <w:numId w:val="1"/>
        </w:numPr>
        <w:spacing w:after="100"/>
      </w:pPr>
      <w:r>
        <w:t xml:space="preserve">Applies Core 5 evaluation framework early in diligence to filter opportunities and focus team resources</w:t>
      </w:r>
    </w:p>
    <w:p>
      <w:pPr>
        <w:pStyle w:val="ListParagraph"/>
        <w:numPr>
          <w:ilvl w:val="0"/>
          <w:numId w:val="1"/>
        </w:numPr>
        <w:spacing w:after="50"/>
      </w:pPr>
      <w:r>
        <w:t xml:space="preserve">Preclinical to Clinical Range</w:t>
      </w:r>
    </w:p>
    <w:p>
      <w:pPr>
        <w:pStyle w:val="ListParagraph"/>
        <w:numPr>
          <w:ilvl w:val="1"/>
          <w:numId w:val="1"/>
        </w:numPr>
        <w:spacing w:after="300"/>
      </w:pPr>
      <w:r>
        <w:t xml:space="preserve">While open to preclinical platform opportunities, exhibits clear preference for de-risked late-stage clinical programs</w:t>
      </w:r>
    </w:p>
    <w:p>
      <w:pPr>
        <w:pStyle w:val="Heading2"/>
        <w:spacing w:before="200" w:after="200"/>
      </w:pPr>
      <w:r>
        <w:t xml:space="preserve">10. Communication &amp; Negotiation Style</w:t>
      </w:r>
    </w:p>
    <w:p>
      <w:pPr>
        <w:pStyle w:val="ListParagraph"/>
        <w:numPr>
          <w:ilvl w:val="0"/>
          <w:numId w:val="1"/>
        </w:numPr>
        <w:spacing w:after="50"/>
      </w:pPr>
      <w:r>
        <w:t xml:space="preserve">Scientifically Sophisticated</w:t>
      </w:r>
    </w:p>
    <w:p>
      <w:pPr>
        <w:pStyle w:val="ListParagraph"/>
        <w:numPr>
          <w:ilvl w:val="1"/>
          <w:numId w:val="1"/>
        </w:numPr>
        <w:spacing w:after="100"/>
      </w:pPr>
      <w:r>
        <w:t xml:space="preserve">MD/PhD background combined with 28 years of industry experience enables deep scientific dialogue without requiring translation</w:t>
      </w:r>
    </w:p>
    <w:p>
      <w:pPr>
        <w:pStyle w:val="ListParagraph"/>
        <w:numPr>
          <w:ilvl w:val="0"/>
          <w:numId w:val="1"/>
        </w:numPr>
        <w:spacing w:after="50"/>
      </w:pPr>
      <w:r>
        <w:t xml:space="preserve">Patient-Focused Mission</w:t>
      </w:r>
    </w:p>
    <w:p>
      <w:pPr>
        <w:pStyle w:val="ListParagraph"/>
        <w:numPr>
          <w:ilvl w:val="1"/>
          <w:numId w:val="1"/>
        </w:numPr>
        <w:spacing w:after="100"/>
      </w:pPr>
      <w:r>
        <w:t xml:space="preserve">Frequently frames investment rationale through lens of patient impact and transformational outcomes</w:t>
      </w:r>
    </w:p>
    <w:p>
      <w:pPr>
        <w:pStyle w:val="ListParagraph"/>
        <w:numPr>
          <w:ilvl w:val="0"/>
          <w:numId w:val="1"/>
        </w:numPr>
        <w:spacing w:after="50"/>
      </w:pPr>
      <w:r>
        <w:t xml:space="preserve">Values 'Clever Science'</w:t>
      </w:r>
    </w:p>
    <w:p>
      <w:pPr>
        <w:pStyle w:val="ListParagraph"/>
        <w:numPr>
          <w:ilvl w:val="1"/>
          <w:numId w:val="1"/>
        </w:numPr>
        <w:spacing w:after="100"/>
      </w:pPr>
      <w:r>
        <w:t xml:space="preserve">Shows genuine enthusiasm for elegant mechanistic approaches and cutting-edge scientific methodology</w:t>
      </w:r>
    </w:p>
    <w:p>
      <w:pPr>
        <w:pStyle w:val="ListParagraph"/>
        <w:numPr>
          <w:ilvl w:val="0"/>
          <w:numId w:val="1"/>
        </w:numPr>
        <w:spacing w:after="50"/>
      </w:pPr>
      <w:r>
        <w:t xml:space="preserve">Direct but Collaborative</w:t>
      </w:r>
    </w:p>
    <w:p>
      <w:pPr>
        <w:pStyle w:val="ListParagraph"/>
        <w:numPr>
          <w:ilvl w:val="1"/>
          <w:numId w:val="1"/>
        </w:numPr>
        <w:spacing w:after="100"/>
      </w:pPr>
      <w:r>
        <w:t xml:space="preserve">Clear about strategic requirements and financial parameters, yet open to creative problem-solving with partners</w:t>
      </w:r>
    </w:p>
    <w:p>
      <w:pPr>
        <w:pStyle w:val="ListParagraph"/>
        <w:numPr>
          <w:ilvl w:val="0"/>
          <w:numId w:val="1"/>
        </w:numPr>
        <w:spacing w:after="50"/>
      </w:pPr>
      <w:r>
        <w:t xml:space="preserve">Rare Disease Mission Emphasis</w:t>
      </w:r>
    </w:p>
    <w:p>
      <w:pPr>
        <w:pStyle w:val="ListParagraph"/>
        <w:numPr>
          <w:ilvl w:val="1"/>
          <w:numId w:val="1"/>
        </w:numPr>
        <w:spacing w:after="100"/>
      </w:pPr>
      <w:r>
        <w:t xml:space="preserve">Views BioMarin's rare disease focus as core competitive advantage and non-negotiable strategic pillar</w:t>
      </w:r>
    </w:p>
    <w:p>
      <w:pPr>
        <w:pStyle w:val="ListParagraph"/>
        <w:numPr>
          <w:ilvl w:val="0"/>
          <w:numId w:val="1"/>
        </w:numPr>
        <w:spacing w:after="50"/>
      </w:pPr>
      <w:r>
        <w:t xml:space="preserve">Draws on Transaction Experience</w:t>
      </w:r>
    </w:p>
    <w:p>
      <w:pPr>
        <w:pStyle w:val="ListParagraph"/>
        <w:numPr>
          <w:ilvl w:val="1"/>
          <w:numId w:val="1"/>
        </w:numPr>
        <w:spacing w:after="100"/>
      </w:pPr>
      <w:r>
        <w:t xml:space="preserve">References 1,200+ evaluated transactions to benchmark opportunities, identify patterns, and mitigate risks</w:t>
      </w:r>
    </w:p>
    <w:p>
      <w:pPr>
        <w:pStyle w:val="ListParagraph"/>
        <w:numPr>
          <w:ilvl w:val="0"/>
          <w:numId w:val="1"/>
        </w:numPr>
        <w:spacing w:after="50"/>
      </w:pPr>
      <w:r>
        <w:t xml:space="preserve">Transparent About Strategy</w:t>
      </w:r>
    </w:p>
    <w:p>
      <w:pPr>
        <w:pStyle w:val="ListParagraph"/>
        <w:numPr>
          <w:ilvl w:val="1"/>
          <w:numId w:val="1"/>
        </w:numPr>
        <w:spacing w:after="300"/>
      </w:pPr>
      <w:r>
        <w:t xml:space="preserve">Open discussion of BioMarin's strategic priorities (Core 5, target indications, deal size) to align partner expectations upfront</w:t>
      </w:r>
    </w:p>
    <w:p>
      <w:pPr>
        <w:pStyle w:val="Heading2"/>
        <w:spacing w:before="200" w:after="200"/>
      </w:pPr>
      <w:r>
        <w:t xml:space="preserve">11. Metrics They Track</w:t>
      </w:r>
    </w:p>
    <w:p>
      <w:pPr>
        <w:pStyle w:val="ListParagraph"/>
        <w:numPr>
          <w:ilvl w:val="0"/>
          <w:numId w:val="1"/>
        </w:numPr>
        <w:spacing w:after="50"/>
      </w:pPr>
      <w:r>
        <w:t xml:space="preserve">Core 5 Alignment Score</w:t>
      </w:r>
    </w:p>
    <w:p>
      <w:pPr>
        <w:pStyle w:val="ListParagraph"/>
        <w:numPr>
          <w:ilvl w:val="1"/>
          <w:numId w:val="1"/>
        </w:numPr>
        <w:spacing w:after="100"/>
      </w:pPr>
      <w:r>
        <w:t xml:space="preserve">Primary filter for all potential acquisitions and partnerships – candidates must score high on all five criteria</w:t>
      </w:r>
    </w:p>
    <w:p>
      <w:pPr>
        <w:pStyle w:val="ListParagraph"/>
        <w:numPr>
          <w:ilvl w:val="0"/>
          <w:numId w:val="1"/>
        </w:numPr>
        <w:spacing w:after="50"/>
      </w:pPr>
      <w:r>
        <w:t xml:space="preserve">Time to Deal Close</w:t>
      </w:r>
    </w:p>
    <w:p>
      <w:pPr>
        <w:pStyle w:val="ListParagraph"/>
        <w:numPr>
          <w:ilvl w:val="1"/>
          <w:numId w:val="1"/>
        </w:numPr>
        <w:spacing w:after="100"/>
      </w:pPr>
      <w:r>
        <w:t xml:space="preserve">Tracks execution speed – benchmarks against record Inozyme close of &lt;2 months</w:t>
      </w:r>
    </w:p>
    <w:p>
      <w:pPr>
        <w:pStyle w:val="ListParagraph"/>
        <w:numPr>
          <w:ilvl w:val="0"/>
          <w:numId w:val="1"/>
        </w:numPr>
        <w:spacing w:after="50"/>
      </w:pPr>
      <w:r>
        <w:t xml:space="preserve">Accretion Timeline</w:t>
      </w:r>
    </w:p>
    <w:p>
      <w:pPr>
        <w:pStyle w:val="ListParagraph"/>
        <w:numPr>
          <w:ilvl w:val="1"/>
          <w:numId w:val="1"/>
        </w:numPr>
        <w:spacing w:after="100"/>
      </w:pPr>
      <w:r>
        <w:t xml:space="preserve">Monitors path to earnings accretion within 12 months and substantial accretion by 2027</w:t>
      </w:r>
    </w:p>
    <w:p>
      <w:pPr>
        <w:pStyle w:val="ListParagraph"/>
        <w:numPr>
          <w:ilvl w:val="0"/>
          <w:numId w:val="1"/>
        </w:numPr>
        <w:spacing w:after="50"/>
      </w:pPr>
      <w:r>
        <w:t xml:space="preserve">Rare Disease Market Penetration</w:t>
      </w:r>
    </w:p>
    <w:p>
      <w:pPr>
        <w:pStyle w:val="ListParagraph"/>
        <w:numPr>
          <w:ilvl w:val="1"/>
          <w:numId w:val="1"/>
        </w:numPr>
        <w:spacing w:after="100"/>
      </w:pPr>
      <w:r>
        <w:t xml:space="preserve">Tracks BioMarin's market share gains and patient reach expansion across targeted rare genetic disease indications</w:t>
      </w:r>
    </w:p>
    <w:p>
      <w:pPr>
        <w:pStyle w:val="ListParagraph"/>
        <w:numPr>
          <w:ilvl w:val="0"/>
          <w:numId w:val="1"/>
        </w:numPr>
        <w:spacing w:after="50"/>
      </w:pPr>
      <w:r>
        <w:t xml:space="preserve">VOXZOGO Growth Rate</w:t>
      </w:r>
    </w:p>
    <w:p>
      <w:pPr>
        <w:pStyle w:val="ListParagraph"/>
        <w:numPr>
          <w:ilvl w:val="1"/>
          <w:numId w:val="1"/>
        </w:numPr>
        <w:spacing w:after="100"/>
      </w:pPr>
      <w:r>
        <w:t xml:space="preserve">Monitors flagship skeletal therapy commercial momentum and market adoption trajectory</w:t>
      </w:r>
    </w:p>
    <w:p>
      <w:pPr>
        <w:pStyle w:val="ListParagraph"/>
        <w:numPr>
          <w:ilvl w:val="0"/>
          <w:numId w:val="1"/>
        </w:numPr>
        <w:spacing w:after="50"/>
      </w:pPr>
      <w:r>
        <w:t xml:space="preserve">Pipeline Diversity</w:t>
      </w:r>
    </w:p>
    <w:p>
      <w:pPr>
        <w:pStyle w:val="ListParagraph"/>
        <w:numPr>
          <w:ilvl w:val="1"/>
          <w:numId w:val="1"/>
        </w:numPr>
        <w:spacing w:after="100"/>
      </w:pPr>
      <w:r>
        <w:t xml:space="preserve">Tracks portfolio composition across ERT, gene therapy, oligonucleotides, and other modalities to ensure balanced risk</w:t>
      </w:r>
    </w:p>
    <w:p>
      <w:pPr>
        <w:pStyle w:val="ListParagraph"/>
        <w:numPr>
          <w:ilvl w:val="0"/>
          <w:numId w:val="1"/>
        </w:numPr>
        <w:spacing w:after="50"/>
      </w:pPr>
      <w:r>
        <w:t xml:space="preserve">Deal Volume vs. Historical</w:t>
      </w:r>
    </w:p>
    <w:p>
      <w:pPr>
        <w:pStyle w:val="ListParagraph"/>
        <w:numPr>
          <w:ilvl w:val="1"/>
          <w:numId w:val="1"/>
        </w:numPr>
        <w:spacing w:after="100"/>
      </w:pPr>
      <w:r>
        <w:t xml:space="preserve">10 deals in 2025 sets new record – monitors ability to maintain this velocity while ensuring quality over quantity</w:t>
      </w:r>
    </w:p>
    <w:p>
      <w:pPr>
        <w:pStyle w:val="ListParagraph"/>
        <w:numPr>
          <w:ilvl w:val="0"/>
          <w:numId w:val="1"/>
        </w:numPr>
        <w:spacing w:after="50"/>
      </w:pPr>
      <w:r>
        <w:t xml:space="preserve">R&amp;D Portfolio Balance (Internal vs. External)</w:t>
      </w:r>
    </w:p>
    <w:p>
      <w:pPr>
        <w:pStyle w:val="ListParagraph"/>
        <w:numPr>
          <w:ilvl w:val="1"/>
          <w:numId w:val="1"/>
        </w:numPr>
        <w:spacing w:after="300"/>
      </w:pPr>
      <w:r>
        <w:t xml:space="preserve">Ensures mix of internal development and external partnerships optimizes innovation and risk management</w:t>
      </w:r>
    </w:p>
    <w:p>
      <w:pPr>
        <w:pStyle w:val="Heading2"/>
        <w:spacing w:before="200" w:after="200"/>
      </w:pPr>
      <w:r>
        <w:t xml:space="preserve">12. Long-Term BD Vision</w:t>
      </w:r>
    </w:p>
    <w:p>
      <w:pPr>
        <w:spacing w:after="200"/>
      </w:pPr>
      <w:r>
        <w:t xml:space="preserve">Dr. Chen's overarching vision is to transform BioMarin into the dominant global franchisee in rare genetic diseases through disciplined M&amp;A, strategic partnerships, and relentless focus on innovation and patient impact.</w:t>
      </w:r>
    </w:p>
    <w:p>
      <w:pPr>
        <w:spacing w:before="100" w:after="100"/>
      </w:pPr>
      <w:r>
        <w:t xml:space="preserve">Strategic Objectives:</w:t>
      </w:r>
    </w:p>
    <w:p>
      <w:pPr>
        <w:pStyle w:val="ListParagraph"/>
        <w:numPr>
          <w:ilvl w:val="0"/>
          <w:numId w:val="1"/>
        </w:numPr>
        <w:spacing w:after="100"/>
      </w:pPr>
      <w:r>
        <w:t xml:space="preserve">Build rare genetic disease franchise dominance – establish BioMarin as the undisputed leader in precision genetic medicine</w:t>
      </w:r>
    </w:p>
    <w:p>
      <w:pPr>
        <w:pStyle w:val="ListParagraph"/>
        <w:numPr>
          <w:ilvl w:val="0"/>
          <w:numId w:val="1"/>
        </w:numPr>
        <w:spacing w:after="100"/>
      </w:pPr>
      <w:r>
        <w:t xml:space="preserve">Target €4B+ revenue by 2027 – ~50% increase from current levels through organic growth and strategic acquisitions</w:t>
      </w:r>
    </w:p>
    <w:p>
      <w:pPr>
        <w:pStyle w:val="ListParagraph"/>
        <w:numPr>
          <w:ilvl w:val="0"/>
          <w:numId w:val="1"/>
        </w:numPr>
        <w:spacing w:after="100"/>
      </w:pPr>
      <w:r>
        <w:t xml:space="preserve">Launch 11 products by 2034 – ambitious pipeline expansion through internal development, partnerships, and M&amp;A</w:t>
      </w:r>
    </w:p>
    <w:p>
      <w:pPr>
        <w:pStyle w:val="ListParagraph"/>
        <w:numPr>
          <w:ilvl w:val="0"/>
          <w:numId w:val="1"/>
        </w:numPr>
        <w:spacing w:after="100"/>
      </w:pPr>
      <w:r>
        <w:t xml:space="preserve">Expand therapeutic modality portfolio – move beyond enzyme replacement therapy into gene therapy and oligonucleotides</w:t>
      </w:r>
    </w:p>
    <w:p>
      <w:pPr>
        <w:pStyle w:val="ListParagraph"/>
        <w:numPr>
          <w:ilvl w:val="0"/>
          <w:numId w:val="1"/>
        </w:numPr>
        <w:spacing w:after="100"/>
      </w:pPr>
      <w:r>
        <w:t xml:space="preserve">Become 'partner of choice' – establish BioMarin as the preferred M&amp;A and partnership destination for rare disease biotech innovation</w:t>
      </w:r>
    </w:p>
    <w:p>
      <w:pPr>
        <w:pStyle w:val="ListParagraph"/>
        <w:numPr>
          <w:ilvl w:val="0"/>
          <w:numId w:val="1"/>
        </w:numPr>
        <w:spacing w:after="300"/>
      </w:pPr>
      <w:r>
        <w:t xml:space="preserve">Demonstrate sustainable value creation – prove that disciplined Core 5-based M&amp;A and partnership strategy delivers consistent shareholder returns</w:t>
      </w:r>
    </w:p>
    <w:p>
      <w:pPr>
        <w:pStyle w:val="Heading2"/>
        <w:spacing w:before="200" w:after="200"/>
      </w:pPr>
      <w:r>
        <w:t xml:space="preserve">Conclusion</w:t>
      </w:r>
    </w:p>
    <w:p>
      <w:pPr>
        <w:spacing w:after="200"/>
      </w:pPr>
      <w:r>
        <w:t xml:space="preserve">Dr. James Chen represents a new generation of pharma business development leader – equally comfortable discussing complex mechanistic biology with academic researchers and negotiating multi-billion dollar acquisitions with institutional investors. His tenure at BioMarin has already reshaped the company's BD strategy, accelerating deal momentum and positioning the organization for sustained growth in rare genetic diseases. For biotech entrepreneurs and partnerships seeking to engage with BioMarin, understanding Dr. Chen's Core 5 framework, strategic priorities, and decision-making discipline is essential to advancing opportunities.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2026-02-18T13:37:11.275Z</dcterms:created>
  <dcterms:modified xsi:type="dcterms:W3CDTF">2026-02-18T13:37:11.275Z</dcterms:modified>
</cp:coreProperties>
</file>

<file path=docProps/custom.xml><?xml version="1.0" encoding="utf-8"?>
<Properties xmlns="http://schemas.openxmlformats.org/officeDocument/2006/custom-properties" xmlns:vt="http://schemas.openxmlformats.org/officeDocument/2006/docPropsVTypes"/>
</file>