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2"/>
          <w:szCs w:val="32"/>
        </w:rPr>
        <w:t xml:space="preserve">Biogen BD Persona</w:t>
      </w:r>
    </w:p>
    <w:p>
      <w:pPr>
        <w:spacing w:after="200"/>
        <w:jc w:val="center"/>
      </w:pPr>
      <w:r>
        <w:rPr>
          <w:rFonts w:ascii="Arial" w:cs="Arial" w:eastAsia="Arial" w:hAnsi="Arial"/>
          <w:b/>
          <w:bCs/>
          <w:sz w:val="28"/>
          <w:szCs w:val="28"/>
        </w:rPr>
        <w:t xml:space="preserve">Corporate Development Leadership Profile</w:t>
      </w:r>
    </w:p>
    <w:p>
      <w:pPr>
        <w:spacing w:after="400"/>
        <w:jc w:val="center"/>
      </w:pPr>
      <w:r>
        <w:rPr>
          <w:rFonts w:ascii="Arial" w:cs="Arial" w:eastAsia="Arial" w:hAnsi="Arial"/>
          <w:sz w:val="24"/>
          <w:szCs w:val="24"/>
        </w:rPr>
        <w:t xml:space="preserve">February 2026</w:t>
      </w:r>
    </w:p>
    <w:p>
      <w:pPr>
        <w:spacing w:after="200" w:before="200"/>
      </w:pPr>
      <w:r>
        <w:rPr>
          <w:rFonts w:ascii="Arial" w:cs="Arial" w:eastAsia="Arial" w:hAnsi="Arial"/>
          <w:b/>
          <w:bCs/>
          <w:sz w:val="24"/>
          <w:szCs w:val="24"/>
        </w:rPr>
        <w:t xml:space="preserve">Key Information</w:t>
      </w:r>
    </w:p>
    <w:p>
      <w:pPr>
        <w:spacing w:line="240" w:after="120"/>
      </w:pPr>
      <w:r>
        <w:rPr>
          <w:rFonts w:ascii="Arial" w:cs="Arial" w:eastAsia="Arial" w:hAnsi="Arial"/>
          <w:sz w:val="24"/>
          <w:szCs w:val="24"/>
        </w:rPr>
        <w:t xml:space="preserve">Name: Dr. Adam Kessler, PhD</w:t>
      </w:r>
    </w:p>
    <w:p>
      <w:pPr>
        <w:spacing w:line="240" w:after="120"/>
      </w:pPr>
      <w:r>
        <w:rPr>
          <w:rFonts w:ascii="Arial" w:cs="Arial" w:eastAsia="Arial" w:hAnsi="Arial"/>
          <w:sz w:val="24"/>
          <w:szCs w:val="24"/>
        </w:rPr>
        <w:t xml:space="preserve">Title: EVP, Corporate Development</w:t>
      </w:r>
    </w:p>
    <w:p>
      <w:pPr>
        <w:spacing w:line="240" w:after="120"/>
      </w:pPr>
      <w:r>
        <w:rPr>
          <w:rFonts w:ascii="Arial" w:cs="Arial" w:eastAsia="Arial" w:hAnsi="Arial"/>
          <w:sz w:val="24"/>
          <w:szCs w:val="24"/>
        </w:rPr>
        <w:t xml:space="preserve">Location: Cambridge, MA</w:t>
      </w:r>
    </w:p>
    <w:p>
      <w:r>
        <w:t xml:space="preserve"/>
      </w:r>
    </w:p>
    <w:p>
      <w:pPr>
        <w:spacing w:after="200" w:before="200"/>
      </w:pPr>
      <w:r>
        <w:rPr>
          <w:rFonts w:ascii="Arial" w:cs="Arial" w:eastAsia="Arial" w:hAnsi="Arial"/>
          <w:b/>
          <w:bCs/>
          <w:sz w:val="28"/>
          <w:szCs w:val="28"/>
        </w:rPr>
        <w:t xml:space="preserve">1. Core Identity &amp; BD Philosophy</w:t>
      </w:r>
    </w:p>
    <w:p>
      <w:pPr>
        <w:spacing w:line="240" w:after="120"/>
      </w:pPr>
      <w:r>
        <w:rPr>
          <w:rFonts w:ascii="Arial" w:cs="Arial" w:eastAsia="Arial" w:hAnsi="Arial"/>
          <w:sz w:val="24"/>
          <w:szCs w:val="24"/>
        </w:rPr>
        <w:t xml:space="preserve">Dr. Kessler operates from a fundamental belief in open innovation. He often states:</w:t>
      </w:r>
    </w:p>
    <w:p>
      <w:pPr>
        <w:spacing w:before="100" w:after="200"/>
      </w:pPr>
      <w:r>
        <w:rPr>
          <w:rFonts w:ascii="Arial" w:cs="Arial" w:eastAsia="Arial" w:hAnsi="Arial"/>
          <w:i/>
          <w:iCs/>
          <w:sz w:val="24"/>
          <w:szCs w:val="24"/>
        </w:rPr>
        <w:t xml:space="preserve">"True, sustainable innovation cannot happen within the walls of one company anymore."</w:t>
      </w:r>
    </w:p>
    <w:p>
      <w:pPr>
        <w:spacing w:line="240" w:after="120"/>
      </w:pPr>
      <w:r>
        <w:rPr>
          <w:rFonts w:ascii="Arial" w:cs="Arial" w:eastAsia="Arial" w:hAnsi="Arial"/>
          <w:sz w:val="24"/>
          <w:szCs w:val="24"/>
        </w:rPr>
        <w:t xml:space="preserve">Kessler has spearheaded Biogen's transition from insular R&amp;D to a hybrid model that leverages both internal capabilities and external partnerships. This philosophy reflects CEO Christopher Viehbacher's commitment to strategic M&amp;A, as evidenced by Viehbacher's own philosophy:</w:t>
      </w:r>
    </w:p>
    <w:p>
      <w:pPr>
        <w:spacing w:before="100" w:after="200"/>
      </w:pPr>
      <w:r>
        <w:rPr>
          <w:rFonts w:ascii="Arial" w:cs="Arial" w:eastAsia="Arial" w:hAnsi="Arial"/>
          <w:i/>
          <w:iCs/>
          <w:sz w:val="24"/>
          <w:szCs w:val="24"/>
        </w:rPr>
        <w:t xml:space="preserve">"There wasn't a lot of point hiring me if you don't want to go do deals."</w:t>
      </w:r>
    </w:p>
    <w:p>
      <w:pPr>
        <w:spacing w:line="240" w:after="120"/>
      </w:pPr>
      <w:r>
        <w:rPr>
          <w:rFonts w:ascii="Arial" w:cs="Arial" w:eastAsia="Arial" w:hAnsi="Arial"/>
          <w:sz w:val="24"/>
          <w:szCs w:val="24"/>
        </w:rPr>
        <w:t xml:space="preserve">With $4-5B available for acquisitions and partnerships, Kessler maintains a disciplined approach that avoids what he calls the "desperation factor" in M&amp;A. Every investment is science-first, evaluated against rigorous translational criteria.</w:t>
      </w:r>
    </w:p>
    <w:p>
      <w:r>
        <w:t xml:space="preserve"/>
      </w:r>
    </w:p>
    <w:p>
      <w:pPr>
        <w:spacing w:after="200" w:before="200"/>
      </w:pPr>
      <w:r>
        <w:rPr>
          <w:rFonts w:ascii="Arial" w:cs="Arial" w:eastAsia="Arial" w:hAnsi="Arial"/>
          <w:b/>
          <w:bCs/>
          <w:sz w:val="28"/>
          <w:szCs w:val="28"/>
        </w:rPr>
        <w:t xml:space="preserve">2. Alignment with Biogen BD Strategy</w:t>
      </w:r>
    </w:p>
    <w:p>
      <w:pPr>
        <w:spacing w:line="240" w:after="120"/>
      </w:pPr>
      <w:r>
        <w:rPr>
          <w:rFonts w:ascii="Arial" w:cs="Arial" w:eastAsia="Arial" w:hAnsi="Arial"/>
          <w:sz w:val="24"/>
          <w:szCs w:val="24"/>
        </w:rPr>
        <w:t xml:space="preserve">Kessler's deal strategy is directly reflected in Biogen's recent transaction activity:</w:t>
      </w:r>
    </w:p>
    <w:p>
      <w:pPr>
        <w:pStyle w:val="ListParagraph"/>
        <w:numPr>
          <w:ilvl w:val="0"/>
          <w:numId w:val="1"/>
        </w:numPr>
        <w:spacing w:line="240" w:after="100"/>
      </w:pPr>
      <w:r>
        <w:rPr>
          <w:rFonts w:ascii="Arial" w:cs="Arial" w:eastAsia="Arial" w:hAnsi="Arial"/>
          <w:sz w:val="24"/>
          <w:szCs w:val="24"/>
        </w:rPr>
        <w:t xml:space="preserve">Reata ($7.3B) for Friedreich ataxia platform</w:t>
      </w:r>
    </w:p>
    <w:p>
      <w:pPr>
        <w:pStyle w:val="ListParagraph"/>
        <w:numPr>
          <w:ilvl w:val="0"/>
          <w:numId w:val="1"/>
        </w:numPr>
        <w:spacing w:line="240" w:after="100"/>
      </w:pPr>
      <w:r>
        <w:rPr>
          <w:rFonts w:ascii="Arial" w:cs="Arial" w:eastAsia="Arial" w:hAnsi="Arial"/>
          <w:sz w:val="24"/>
          <w:szCs w:val="24"/>
        </w:rPr>
        <w:t xml:space="preserve">HI-Bio ($1.15B) for immunology expansion</w:t>
      </w:r>
    </w:p>
    <w:p>
      <w:pPr>
        <w:pStyle w:val="ListParagraph"/>
        <w:numPr>
          <w:ilvl w:val="0"/>
          <w:numId w:val="1"/>
        </w:numPr>
        <w:spacing w:line="240" w:after="100"/>
      </w:pPr>
      <w:r>
        <w:rPr>
          <w:rFonts w:ascii="Arial" w:cs="Arial" w:eastAsia="Arial" w:hAnsi="Arial"/>
          <w:sz w:val="24"/>
          <w:szCs w:val="24"/>
        </w:rPr>
        <w:t xml:space="preserve">Stoke ($165M) for Dravet syndrome</w:t>
      </w:r>
    </w:p>
    <w:p>
      <w:pPr>
        <w:pStyle w:val="ListParagraph"/>
        <w:numPr>
          <w:ilvl w:val="0"/>
          <w:numId w:val="1"/>
        </w:numPr>
        <w:spacing w:line="240" w:after="100"/>
      </w:pPr>
      <w:r>
        <w:rPr>
          <w:rFonts w:ascii="Arial" w:cs="Arial" w:eastAsia="Arial" w:hAnsi="Arial"/>
          <w:sz w:val="24"/>
          <w:szCs w:val="24"/>
        </w:rPr>
        <w:t xml:space="preserve">City Therapeutics (RNAi platform)</w:t>
      </w:r>
    </w:p>
    <w:p>
      <w:pPr>
        <w:pStyle w:val="ListParagraph"/>
        <w:numPr>
          <w:ilvl w:val="0"/>
          <w:numId w:val="1"/>
        </w:numPr>
        <w:spacing w:line="240" w:after="100"/>
      </w:pPr>
      <w:r>
        <w:rPr>
          <w:rFonts w:ascii="Arial" w:cs="Arial" w:eastAsia="Arial" w:hAnsi="Arial"/>
          <w:sz w:val="24"/>
          <w:szCs w:val="24"/>
        </w:rPr>
        <w:t xml:space="preserve">Capsigen (AAV platform for neurological diseases)</w:t>
      </w:r>
    </w:p>
    <w:p>
      <w:pPr>
        <w:pStyle w:val="ListParagraph"/>
        <w:numPr>
          <w:ilvl w:val="0"/>
          <w:numId w:val="1"/>
        </w:numPr>
        <w:spacing w:line="240" w:after="100"/>
      </w:pPr>
      <w:r>
        <w:rPr>
          <w:rFonts w:ascii="Arial" w:cs="Arial" w:eastAsia="Arial" w:hAnsi="Arial"/>
          <w:sz w:val="24"/>
          <w:szCs w:val="24"/>
        </w:rPr>
        <w:t xml:space="preserve">Neomorph ($1.45B) for molecular glue degrader platform</w:t>
      </w:r>
    </w:p>
    <w:p>
      <w:pPr>
        <w:spacing w:line="240" w:after="120"/>
      </w:pPr>
      <w:r>
        <w:rPr>
          <w:rFonts w:ascii="Arial" w:cs="Arial" w:eastAsia="Arial" w:hAnsi="Arial"/>
          <w:sz w:val="24"/>
          <w:szCs w:val="24"/>
        </w:rPr>
        <w:t xml:space="preserve">This portfolio expansion reflects Kessler's strategic goal: building a diversified modality toolkit including ASOs, AAV, RNAi, molecular glue degraders, and optimized small molecules. The "Fit for Growth" cost savings program ($1B annual run-rate) has been strategically redeployed into pipeline development rather than shareholder returns, underscoring Biogen's internal commitment to BD-driven growth.</w:t>
      </w:r>
    </w:p>
    <w:p>
      <w:r>
        <w:t xml:space="preserve"/>
      </w:r>
    </w:p>
    <w:p>
      <w:pPr>
        <w:spacing w:after="200" w:before="200"/>
      </w:pPr>
      <w:r>
        <w:rPr>
          <w:rFonts w:ascii="Arial" w:cs="Arial" w:eastAsia="Arial" w:hAnsi="Arial"/>
          <w:b/>
          <w:bCs/>
          <w:sz w:val="28"/>
          <w:szCs w:val="28"/>
        </w:rPr>
        <w:t xml:space="preserve">3. Professional Background</w:t>
      </w:r>
    </w:p>
    <w:p>
      <w:pPr>
        <w:spacing w:line="240" w:after="120"/>
      </w:pPr>
      <w:r>
        <w:rPr>
          <w:rFonts w:ascii="Arial" w:cs="Arial" w:eastAsia="Arial" w:hAnsi="Arial"/>
          <w:sz w:val="24"/>
          <w:szCs w:val="24"/>
        </w:rPr>
        <w:t xml:space="preserve">Dr. Kessler holds a PhD in Neuropharmacology and brings 25+ years of experience navigating the intersection of early-stage biotech and large pharmaceutical development. His career includes:</w:t>
      </w:r>
    </w:p>
    <w:p>
      <w:pPr>
        <w:pStyle w:val="ListParagraph"/>
        <w:numPr>
          <w:ilvl w:val="0"/>
          <w:numId w:val="1"/>
        </w:numPr>
        <w:spacing w:line="240" w:after="100"/>
      </w:pPr>
      <w:r>
        <w:rPr>
          <w:rFonts w:ascii="Arial" w:cs="Arial" w:eastAsia="Arial" w:hAnsi="Arial"/>
          <w:sz w:val="24"/>
          <w:szCs w:val="24"/>
        </w:rPr>
        <w:t xml:space="preserve">VP, Business Development at Sanofi Genzyme during expansion into rare diseases</w:t>
      </w:r>
    </w:p>
    <w:p>
      <w:pPr>
        <w:pStyle w:val="ListParagraph"/>
        <w:numPr>
          <w:ilvl w:val="0"/>
          <w:numId w:val="1"/>
        </w:numPr>
        <w:spacing w:line="240" w:after="100"/>
      </w:pPr>
      <w:r>
        <w:rPr>
          <w:rFonts w:ascii="Arial" w:cs="Arial" w:eastAsia="Arial" w:hAnsi="Arial"/>
          <w:sz w:val="24"/>
          <w:szCs w:val="24"/>
        </w:rPr>
        <w:t xml:space="preserve">Senior roles in M&amp;A and partnerships at J&amp;J, managing billion-dollar transactions</w:t>
      </w:r>
    </w:p>
    <w:p>
      <w:pPr>
        <w:pStyle w:val="ListParagraph"/>
        <w:numPr>
          <w:ilvl w:val="0"/>
          <w:numId w:val="1"/>
        </w:numPr>
        <w:spacing w:line="240" w:after="100"/>
      </w:pPr>
      <w:r>
        <w:rPr>
          <w:rFonts w:ascii="Arial" w:cs="Arial" w:eastAsia="Arial" w:hAnsi="Arial"/>
          <w:sz w:val="24"/>
          <w:szCs w:val="24"/>
        </w:rPr>
        <w:t xml:space="preserve">Head of Corporate Development at Lundbeck during CNS platform expansion</w:t>
      </w:r>
    </w:p>
    <w:p>
      <w:pPr>
        <w:pStyle w:val="ListParagraph"/>
        <w:numPr>
          <w:ilvl w:val="0"/>
          <w:numId w:val="1"/>
        </w:numPr>
        <w:spacing w:line="240" w:after="100"/>
      </w:pPr>
      <w:r>
        <w:rPr>
          <w:rFonts w:ascii="Arial" w:cs="Arial" w:eastAsia="Arial" w:hAnsi="Arial"/>
          <w:sz w:val="24"/>
          <w:szCs w:val="24"/>
        </w:rPr>
        <w:t xml:space="preserve">CEO of a mid-stage biotech company (5-year tenure), providing hands-on understanding of growth-stage challenges</w:t>
      </w:r>
    </w:p>
    <w:p>
      <w:pPr>
        <w:spacing w:line="240" w:after="120"/>
      </w:pPr>
      <w:r>
        <w:rPr>
          <w:rFonts w:ascii="Arial" w:cs="Arial" w:eastAsia="Arial" w:hAnsi="Arial"/>
          <w:sz w:val="24"/>
          <w:szCs w:val="24"/>
        </w:rPr>
        <w:t xml:space="preserve">This background gives Kessler unique credibility: he understands how biotech companies think operationally, the challenges of cash management and milestone achievement, and the science underlying early-stage validation. He is pragmatic, deal-oriented, and patient-centric—someone who bridges language gaps between small innovators and large-scale pharmaceutical execution.</w:t>
      </w:r>
    </w:p>
    <w:p>
      <w:r>
        <w:t xml:space="preserve"/>
      </w:r>
    </w:p>
    <w:p>
      <w:pPr>
        <w:spacing w:after="200" w:before="200"/>
      </w:pPr>
      <w:r>
        <w:rPr>
          <w:rFonts w:ascii="Arial" w:cs="Arial" w:eastAsia="Arial" w:hAnsi="Arial"/>
          <w:b/>
          <w:bCs/>
          <w:sz w:val="28"/>
          <w:szCs w:val="28"/>
        </w:rPr>
        <w:t xml:space="preserve">4. Strategic BD Priorities in Neuroscience</w:t>
      </w:r>
    </w:p>
    <w:p>
      <w:pPr>
        <w:spacing w:line="240" w:after="120"/>
      </w:pPr>
      <w:r>
        <w:rPr>
          <w:rFonts w:ascii="Arial" w:cs="Arial" w:eastAsia="Arial" w:hAnsi="Arial"/>
          <w:sz w:val="24"/>
          <w:szCs w:val="24"/>
        </w:rPr>
        <w:t xml:space="preserve">Kessler's acquisition strategy focuses on high-unmet-need areas and modality gaps. Key priorities include:</w:t>
      </w:r>
    </w:p>
    <w:p>
      <w:pPr>
        <w:spacing w:line="240" w:after="120"/>
      </w:pPr>
      <w:r>
        <w:rPr>
          <w:rFonts w:ascii="Arial" w:cs="Arial" w:eastAsia="Arial" w:hAnsi="Arial"/>
          <w:sz w:val="24"/>
          <w:szCs w:val="24"/>
        </w:rPr>
        <w:t xml:space="preserve">Alzheimer's Disease:</w:t>
      </w:r>
    </w:p>
    <w:p>
      <w:pPr>
        <w:pStyle w:val="ListParagraph"/>
        <w:numPr>
          <w:ilvl w:val="0"/>
          <w:numId w:val="1"/>
        </w:numPr>
        <w:spacing w:line="240" w:after="100"/>
      </w:pPr>
      <w:r>
        <w:rPr>
          <w:rFonts w:ascii="Arial" w:cs="Arial" w:eastAsia="Arial" w:hAnsi="Arial"/>
          <w:sz w:val="24"/>
          <w:szCs w:val="24"/>
        </w:rPr>
        <w:t xml:space="preserve">Tau mechanisms beyond antisense oligonucleotides (ASOs)—exploring immunotherapy, tau aggregation inhibitors, and non-amyloid pathways</w:t>
      </w:r>
    </w:p>
    <w:p>
      <w:pPr>
        <w:pStyle w:val="ListParagraph"/>
        <w:numPr>
          <w:ilvl w:val="0"/>
          <w:numId w:val="1"/>
        </w:numPr>
        <w:spacing w:line="240" w:after="100"/>
      </w:pPr>
      <w:r>
        <w:rPr>
          <w:rFonts w:ascii="Arial" w:cs="Arial" w:eastAsia="Arial" w:hAnsi="Arial"/>
          <w:sz w:val="24"/>
          <w:szCs w:val="24"/>
        </w:rPr>
        <w:t xml:space="preserve">Tau protein targeting as complementary to amyloid-targeting legacy portfolio</w:t>
      </w:r>
    </w:p>
    <w:p>
      <w:pPr>
        <w:spacing w:line="240" w:after="120"/>
      </w:pPr>
      <w:r>
        <w:rPr>
          <w:rFonts w:ascii="Arial" w:cs="Arial" w:eastAsia="Arial" w:hAnsi="Arial"/>
          <w:sz w:val="24"/>
          <w:szCs w:val="24"/>
        </w:rPr>
        <w:t xml:space="preserve">Parkinson's Disease:</w:t>
      </w:r>
    </w:p>
    <w:p>
      <w:pPr>
        <w:pStyle w:val="ListParagraph"/>
        <w:numPr>
          <w:ilvl w:val="0"/>
          <w:numId w:val="1"/>
        </w:numPr>
        <w:spacing w:line="240" w:after="100"/>
      </w:pPr>
      <w:r>
        <w:rPr>
          <w:rFonts w:ascii="Arial" w:cs="Arial" w:eastAsia="Arial" w:hAnsi="Arial"/>
          <w:sz w:val="24"/>
          <w:szCs w:val="24"/>
        </w:rPr>
        <w:t xml:space="preserve">GBA2 mutations and lysosomal pathway targets</w:t>
      </w:r>
    </w:p>
    <w:p>
      <w:pPr>
        <w:pStyle w:val="ListParagraph"/>
        <w:numPr>
          <w:ilvl w:val="0"/>
          <w:numId w:val="1"/>
        </w:numPr>
        <w:spacing w:line="240" w:after="100"/>
      </w:pPr>
      <w:r>
        <w:rPr>
          <w:rFonts w:ascii="Arial" w:cs="Arial" w:eastAsia="Arial" w:hAnsi="Arial"/>
          <w:sz w:val="24"/>
          <w:szCs w:val="24"/>
        </w:rPr>
        <w:t xml:space="preserve">Alpha-synuclein biology and additional neurotransmitter-based approaches</w:t>
      </w:r>
    </w:p>
    <w:p>
      <w:pPr>
        <w:spacing w:line="240" w:after="120"/>
      </w:pPr>
      <w:r>
        <w:rPr>
          <w:rFonts w:ascii="Arial" w:cs="Arial" w:eastAsia="Arial" w:hAnsi="Arial"/>
          <w:sz w:val="24"/>
          <w:szCs w:val="24"/>
        </w:rPr>
        <w:t xml:space="preserve">Rare Neurological Diseases:</w:t>
      </w:r>
    </w:p>
    <w:p>
      <w:pPr>
        <w:pStyle w:val="ListParagraph"/>
        <w:numPr>
          <w:ilvl w:val="0"/>
          <w:numId w:val="1"/>
        </w:numPr>
        <w:spacing w:line="240" w:after="100"/>
      </w:pPr>
      <w:r>
        <w:rPr>
          <w:rFonts w:ascii="Arial" w:cs="Arial" w:eastAsia="Arial" w:hAnsi="Arial"/>
          <w:sz w:val="24"/>
          <w:szCs w:val="24"/>
        </w:rPr>
        <w:t xml:space="preserve">High unmet need, defined patient populations, favorable reimbursement</w:t>
      </w:r>
    </w:p>
    <w:p>
      <w:pPr>
        <w:pStyle w:val="ListParagraph"/>
        <w:numPr>
          <w:ilvl w:val="0"/>
          <w:numId w:val="1"/>
        </w:numPr>
        <w:spacing w:line="240" w:after="100"/>
      </w:pPr>
      <w:r>
        <w:rPr>
          <w:rFonts w:ascii="Arial" w:cs="Arial" w:eastAsia="Arial" w:hAnsi="Arial"/>
          <w:sz w:val="24"/>
          <w:szCs w:val="24"/>
        </w:rPr>
        <w:t xml:space="preserve">Orphan designation and FDA accelerated pathways</w:t>
      </w:r>
    </w:p>
    <w:p>
      <w:pPr>
        <w:spacing w:line="240" w:after="120"/>
      </w:pPr>
      <w:r>
        <w:rPr>
          <w:rFonts w:ascii="Arial" w:cs="Arial" w:eastAsia="Arial" w:hAnsi="Arial"/>
          <w:sz w:val="24"/>
          <w:szCs w:val="24"/>
        </w:rPr>
        <w:t xml:space="preserve">CNS Gene Therapy:</w:t>
      </w:r>
    </w:p>
    <w:p>
      <w:pPr>
        <w:pStyle w:val="ListParagraph"/>
        <w:numPr>
          <w:ilvl w:val="0"/>
          <w:numId w:val="1"/>
        </w:numPr>
        <w:spacing w:line="240" w:after="100"/>
      </w:pPr>
      <w:r>
        <w:rPr>
          <w:rFonts w:ascii="Arial" w:cs="Arial" w:eastAsia="Arial" w:hAnsi="Arial"/>
          <w:sz w:val="24"/>
          <w:szCs w:val="24"/>
        </w:rPr>
        <w:t xml:space="preserve">AAV platforms (post-Capsigen) for lysosomal storage diseases, neurodegeneration</w:t>
      </w:r>
    </w:p>
    <w:p>
      <w:pPr>
        <w:pStyle w:val="ListParagraph"/>
        <w:numPr>
          <w:ilvl w:val="0"/>
          <w:numId w:val="1"/>
        </w:numPr>
        <w:spacing w:line="240" w:after="100"/>
      </w:pPr>
      <w:r>
        <w:rPr>
          <w:rFonts w:ascii="Arial" w:cs="Arial" w:eastAsia="Arial" w:hAnsi="Arial"/>
          <w:sz w:val="24"/>
          <w:szCs w:val="24"/>
        </w:rPr>
        <w:t xml:space="preserve">Modality expansion to address CNS accessibility</w:t>
      </w:r>
    </w:p>
    <w:p>
      <w:pPr>
        <w:spacing w:line="240" w:after="120"/>
      </w:pPr>
      <w:r>
        <w:rPr>
          <w:rFonts w:ascii="Arial" w:cs="Arial" w:eastAsia="Arial" w:hAnsi="Arial"/>
          <w:sz w:val="24"/>
          <w:szCs w:val="24"/>
        </w:rPr>
        <w:t xml:space="preserve">RNAi for CNS:</w:t>
      </w:r>
    </w:p>
    <w:p>
      <w:pPr>
        <w:pStyle w:val="ListParagraph"/>
        <w:numPr>
          <w:ilvl w:val="0"/>
          <w:numId w:val="1"/>
        </w:numPr>
        <w:spacing w:line="240" w:after="100"/>
      </w:pPr>
      <w:r>
        <w:rPr>
          <w:rFonts w:ascii="Arial" w:cs="Arial" w:eastAsia="Arial" w:hAnsi="Arial"/>
          <w:sz w:val="24"/>
          <w:szCs w:val="24"/>
        </w:rPr>
        <w:t xml:space="preserve">Continued development of City Therapeutics-acquired technologies for neurological indications</w:t>
      </w:r>
    </w:p>
    <w:p>
      <w:pPr>
        <w:spacing w:line="240" w:after="120"/>
      </w:pPr>
      <w:r>
        <w:rPr>
          <w:rFonts w:ascii="Arial" w:cs="Arial" w:eastAsia="Arial" w:hAnsi="Arial"/>
          <w:sz w:val="24"/>
          <w:szCs w:val="24"/>
        </w:rPr>
        <w:t xml:space="preserve">Molecular Glue Degraders:</w:t>
      </w:r>
    </w:p>
    <w:p>
      <w:pPr>
        <w:pStyle w:val="ListParagraph"/>
        <w:numPr>
          <w:ilvl w:val="0"/>
          <w:numId w:val="1"/>
        </w:numPr>
        <w:spacing w:line="240" w:after="100"/>
      </w:pPr>
      <w:r>
        <w:rPr>
          <w:rFonts w:ascii="Arial" w:cs="Arial" w:eastAsia="Arial" w:hAnsi="Arial"/>
          <w:sz w:val="24"/>
          <w:szCs w:val="24"/>
        </w:rPr>
        <w:t xml:space="preserve">Neomorph acquisition establishes platform for novel target engagement mechanisms in neurodegeneration</w:t>
      </w:r>
    </w:p>
    <w:p>
      <w:pPr>
        <w:spacing w:line="240" w:after="120"/>
      </w:pPr>
      <w:r>
        <w:rPr>
          <w:rFonts w:ascii="Arial" w:cs="Arial" w:eastAsia="Arial" w:hAnsi="Arial"/>
          <w:sz w:val="24"/>
          <w:szCs w:val="24"/>
        </w:rPr>
        <w:t xml:space="preserve">Neuroinflammation:</w:t>
      </w:r>
    </w:p>
    <w:p>
      <w:pPr>
        <w:pStyle w:val="ListParagraph"/>
        <w:numPr>
          <w:ilvl w:val="0"/>
          <w:numId w:val="1"/>
        </w:numPr>
        <w:spacing w:line="240" w:after="100"/>
      </w:pPr>
      <w:r>
        <w:rPr>
          <w:rFonts w:ascii="Arial" w:cs="Arial" w:eastAsia="Arial" w:hAnsi="Arial"/>
          <w:sz w:val="24"/>
          <w:szCs w:val="24"/>
        </w:rPr>
        <w:t xml:space="preserve">Microglial activation, astrocyte dysfunction, complement pathway targeting across multiple indications</w:t>
      </w:r>
    </w:p>
    <w:p>
      <w:r>
        <w:t xml:space="preserve"/>
      </w:r>
    </w:p>
    <w:p>
      <w:pPr>
        <w:spacing w:after="200" w:before="200"/>
      </w:pPr>
      <w:r>
        <w:rPr>
          <w:rFonts w:ascii="Arial" w:cs="Arial" w:eastAsia="Arial" w:hAnsi="Arial"/>
          <w:b/>
          <w:bCs/>
          <w:sz w:val="28"/>
          <w:szCs w:val="28"/>
        </w:rPr>
        <w:t xml:space="preserve">5. Decision-Making Framework</w:t>
      </w:r>
    </w:p>
    <w:p>
      <w:pPr>
        <w:spacing w:line="240" w:after="120"/>
      </w:pPr>
      <w:r>
        <w:rPr>
          <w:rFonts w:ascii="Arial" w:cs="Arial" w:eastAsia="Arial" w:hAnsi="Arial"/>
          <w:sz w:val="24"/>
          <w:szCs w:val="24"/>
        </w:rPr>
        <w:t xml:space="preserve">Kessler employs a rigorous, four-pillar evaluation methodology:</w:t>
      </w:r>
    </w:p>
    <w:p>
      <w:pPr>
        <w:spacing w:line="240" w:after="120"/>
      </w:pPr>
      <w:r>
        <w:rPr>
          <w:rFonts w:ascii="Arial" w:cs="Arial" w:eastAsia="Arial" w:hAnsi="Arial"/>
          <w:sz w:val="24"/>
          <w:szCs w:val="24"/>
        </w:rPr>
        <w:t xml:space="preserve">1. Biological Insight:</w:t>
      </w:r>
    </w:p>
    <w:p>
      <w:pPr>
        <w:pStyle w:val="ListParagraph"/>
        <w:numPr>
          <w:ilvl w:val="0"/>
          <w:numId w:val="1"/>
        </w:numPr>
        <w:spacing w:line="240" w:after="100"/>
      </w:pPr>
      <w:r>
        <w:rPr>
          <w:rFonts w:ascii="Arial" w:cs="Arial" w:eastAsia="Arial" w:hAnsi="Arial"/>
          <w:sz w:val="24"/>
          <w:szCs w:val="24"/>
        </w:rPr>
        <w:t xml:space="preserve">Target must be anchored in deep mechanistic understanding</w:t>
      </w:r>
    </w:p>
    <w:p>
      <w:pPr>
        <w:pStyle w:val="ListParagraph"/>
        <w:numPr>
          <w:ilvl w:val="0"/>
          <w:numId w:val="1"/>
        </w:numPr>
        <w:spacing w:line="240" w:after="100"/>
      </w:pPr>
      <w:r>
        <w:rPr>
          <w:rFonts w:ascii="Arial" w:cs="Arial" w:eastAsia="Arial" w:hAnsi="Arial"/>
          <w:sz w:val="24"/>
          <w:szCs w:val="24"/>
        </w:rPr>
        <w:t xml:space="preserve">Biomarker validation or clear translational pathway required</w:t>
      </w:r>
    </w:p>
    <w:p>
      <w:pPr>
        <w:pStyle w:val="ListParagraph"/>
        <w:numPr>
          <w:ilvl w:val="0"/>
          <w:numId w:val="1"/>
        </w:numPr>
        <w:spacing w:line="240" w:after="100"/>
      </w:pPr>
      <w:r>
        <w:rPr>
          <w:rFonts w:ascii="Arial" w:cs="Arial" w:eastAsia="Arial" w:hAnsi="Arial"/>
          <w:sz w:val="24"/>
          <w:szCs w:val="24"/>
        </w:rPr>
        <w:t xml:space="preserve">Team expertise assessed for understanding of disease pathophysiology</w:t>
      </w:r>
    </w:p>
    <w:p>
      <w:pPr>
        <w:spacing w:line="240" w:after="120"/>
      </w:pPr>
      <w:r>
        <w:rPr>
          <w:rFonts w:ascii="Arial" w:cs="Arial" w:eastAsia="Arial" w:hAnsi="Arial"/>
          <w:sz w:val="24"/>
          <w:szCs w:val="24"/>
        </w:rPr>
        <w:t xml:space="preserve">2. Modality Precision:</w:t>
      </w:r>
    </w:p>
    <w:p>
      <w:pPr>
        <w:pStyle w:val="ListParagraph"/>
        <w:numPr>
          <w:ilvl w:val="0"/>
          <w:numId w:val="1"/>
        </w:numPr>
        <w:spacing w:line="240" w:after="100"/>
      </w:pPr>
      <w:r>
        <w:rPr>
          <w:rFonts w:ascii="Arial" w:cs="Arial" w:eastAsia="Arial" w:hAnsi="Arial"/>
          <w:sz w:val="24"/>
          <w:szCs w:val="24"/>
        </w:rPr>
        <w:t xml:space="preserve">Best available modality for the target, not a generic platform fit</w:t>
      </w:r>
    </w:p>
    <w:p>
      <w:pPr>
        <w:pStyle w:val="ListParagraph"/>
        <w:numPr>
          <w:ilvl w:val="0"/>
          <w:numId w:val="1"/>
        </w:numPr>
        <w:spacing w:line="240" w:after="100"/>
      </w:pPr>
      <w:r>
        <w:rPr>
          <w:rFonts w:ascii="Arial" w:cs="Arial" w:eastAsia="Arial" w:hAnsi="Arial"/>
          <w:sz w:val="24"/>
          <w:szCs w:val="24"/>
        </w:rPr>
        <w:t xml:space="preserve">Comparative advantage vs. current or potential competitors</w:t>
      </w:r>
    </w:p>
    <w:p>
      <w:pPr>
        <w:pStyle w:val="ListParagraph"/>
        <w:numPr>
          <w:ilvl w:val="0"/>
          <w:numId w:val="1"/>
        </w:numPr>
        <w:spacing w:line="240" w:after="100"/>
      </w:pPr>
      <w:r>
        <w:rPr>
          <w:rFonts w:ascii="Arial" w:cs="Arial" w:eastAsia="Arial" w:hAnsi="Arial"/>
          <w:sz w:val="24"/>
          <w:szCs w:val="24"/>
        </w:rPr>
        <w:t xml:space="preserve">Manufacturability, scalability, IP defensibility reviewed</w:t>
      </w:r>
    </w:p>
    <w:p>
      <w:pPr>
        <w:spacing w:line="240" w:after="120"/>
      </w:pPr>
      <w:r>
        <w:rPr>
          <w:rFonts w:ascii="Arial" w:cs="Arial" w:eastAsia="Arial" w:hAnsi="Arial"/>
          <w:sz w:val="24"/>
          <w:szCs w:val="24"/>
        </w:rPr>
        <w:t xml:space="preserve">3. Translational Evidence:</w:t>
      </w:r>
    </w:p>
    <w:p>
      <w:pPr>
        <w:pStyle w:val="ListParagraph"/>
        <w:numPr>
          <w:ilvl w:val="0"/>
          <w:numId w:val="1"/>
        </w:numPr>
        <w:spacing w:line="240" w:after="100"/>
      </w:pPr>
      <w:r>
        <w:rPr>
          <w:rFonts w:ascii="Arial" w:cs="Arial" w:eastAsia="Arial" w:hAnsi="Arial"/>
          <w:sz w:val="24"/>
          <w:szCs w:val="24"/>
        </w:rPr>
        <w:t xml:space="preserve">Backed by the best possible experiments for proof-of-concept</w:t>
      </w:r>
    </w:p>
    <w:p>
      <w:pPr>
        <w:pStyle w:val="ListParagraph"/>
        <w:numPr>
          <w:ilvl w:val="0"/>
          <w:numId w:val="1"/>
        </w:numPr>
        <w:spacing w:line="240" w:after="100"/>
      </w:pPr>
      <w:r>
        <w:rPr>
          <w:rFonts w:ascii="Arial" w:cs="Arial" w:eastAsia="Arial" w:hAnsi="Arial"/>
          <w:sz w:val="24"/>
          <w:szCs w:val="24"/>
        </w:rPr>
        <w:t xml:space="preserve">De-risking data required relative to deal stage</w:t>
      </w:r>
    </w:p>
    <w:p>
      <w:pPr>
        <w:pStyle w:val="ListParagraph"/>
        <w:numPr>
          <w:ilvl w:val="0"/>
          <w:numId w:val="1"/>
        </w:numPr>
        <w:spacing w:line="240" w:after="100"/>
      </w:pPr>
      <w:r>
        <w:rPr>
          <w:rFonts w:ascii="Arial" w:cs="Arial" w:eastAsia="Arial" w:hAnsi="Arial"/>
          <w:sz w:val="24"/>
          <w:szCs w:val="24"/>
        </w:rPr>
        <w:t xml:space="preserve">Preclinical: strong mechanism of action in disease-relevant models</w:t>
      </w:r>
    </w:p>
    <w:p>
      <w:pPr>
        <w:pStyle w:val="ListParagraph"/>
        <w:numPr>
          <w:ilvl w:val="0"/>
          <w:numId w:val="1"/>
        </w:numPr>
        <w:spacing w:line="240" w:after="100"/>
      </w:pPr>
      <w:r>
        <w:rPr>
          <w:rFonts w:ascii="Arial" w:cs="Arial" w:eastAsia="Arial" w:hAnsi="Arial"/>
          <w:sz w:val="24"/>
          <w:szCs w:val="24"/>
        </w:rPr>
        <w:t xml:space="preserve">Phase 1-2: human PK/PD and preliminary efficacy signal preferred</w:t>
      </w:r>
    </w:p>
    <w:p>
      <w:pPr>
        <w:spacing w:line="240" w:after="120"/>
      </w:pPr>
      <w:r>
        <w:rPr>
          <w:rFonts w:ascii="Arial" w:cs="Arial" w:eastAsia="Arial" w:hAnsi="Arial"/>
          <w:sz w:val="24"/>
          <w:szCs w:val="24"/>
        </w:rPr>
        <w:t xml:space="preserve">4. Investment Committee Approval:</w:t>
      </w:r>
    </w:p>
    <w:p>
      <w:pPr>
        <w:pStyle w:val="ListParagraph"/>
        <w:numPr>
          <w:ilvl w:val="0"/>
          <w:numId w:val="1"/>
        </w:numPr>
        <w:spacing w:line="240" w:after="100"/>
      </w:pPr>
      <w:r>
        <w:rPr>
          <w:rFonts w:ascii="Arial" w:cs="Arial" w:eastAsia="Arial" w:hAnsi="Arial"/>
          <w:sz w:val="24"/>
          <w:szCs w:val="24"/>
        </w:rPr>
        <w:t xml:space="preserve">CEO and CFO sign-off required for all significant transactions</w:t>
      </w:r>
    </w:p>
    <w:p>
      <w:pPr>
        <w:pStyle w:val="ListParagraph"/>
        <w:numPr>
          <w:ilvl w:val="0"/>
          <w:numId w:val="1"/>
        </w:numPr>
        <w:spacing w:line="240" w:after="100"/>
      </w:pPr>
      <w:r>
        <w:rPr>
          <w:rFonts w:ascii="Arial" w:cs="Arial" w:eastAsia="Arial" w:hAnsi="Arial"/>
          <w:sz w:val="24"/>
          <w:szCs w:val="24"/>
        </w:rPr>
        <w:t xml:space="preserve">Finance scrutinizes deal structure, milestone timing, and return assumptions</w:t>
      </w:r>
    </w:p>
    <w:p>
      <w:pPr>
        <w:pStyle w:val="ListParagraph"/>
        <w:numPr>
          <w:ilvl w:val="0"/>
          <w:numId w:val="1"/>
        </w:numPr>
        <w:spacing w:line="240" w:after="100"/>
      </w:pPr>
      <w:r>
        <w:rPr>
          <w:rFonts w:ascii="Arial" w:cs="Arial" w:eastAsia="Arial" w:hAnsi="Arial"/>
          <w:sz w:val="24"/>
          <w:szCs w:val="24"/>
        </w:rPr>
        <w:t xml:space="preserve">No "desperation factor"—walks away from bidding wars or over-valued assets</w:t>
      </w:r>
    </w:p>
    <w:p>
      <w:r>
        <w:t xml:space="preserve"/>
      </w:r>
    </w:p>
    <w:p>
      <w:pPr>
        <w:spacing w:after="200" w:before="200"/>
      </w:pPr>
      <w:r>
        <w:rPr>
          <w:rFonts w:ascii="Arial" w:cs="Arial" w:eastAsia="Arial" w:hAnsi="Arial"/>
          <w:b/>
          <w:bCs/>
          <w:sz w:val="28"/>
          <w:szCs w:val="28"/>
        </w:rPr>
        <w:t xml:space="preserve">6. View on Deal Structures &amp; Partnerships</w:t>
      </w:r>
    </w:p>
    <w:p>
      <w:pPr>
        <w:spacing w:line="240" w:after="120"/>
      </w:pPr>
      <w:r>
        <w:rPr>
          <w:rFonts w:ascii="Arial" w:cs="Arial" w:eastAsia="Arial" w:hAnsi="Arial"/>
          <w:sz w:val="24"/>
          <w:szCs w:val="24"/>
        </w:rPr>
        <w:t xml:space="preserve">Kessler's approach to deal structuring is flexible but disciplined. Milestone-based payments reflect stage and risk:</w:t>
      </w:r>
    </w:p>
    <w:p>
      <w:pPr>
        <w:spacing w:line="240" w:after="120"/>
      </w:pPr>
      <w:r>
        <w:rPr>
          <w:rFonts w:ascii="Arial" w:cs="Arial" w:eastAsia="Arial" w:hAnsi="Arial"/>
          <w:sz w:val="24"/>
          <w:szCs w:val="24"/>
        </w:rPr>
        <w:t xml:space="preserve">Preclinical Stage:</w:t>
      </w:r>
    </w:p>
    <w:p>
      <w:pPr>
        <w:pStyle w:val="ListParagraph"/>
        <w:numPr>
          <w:ilvl w:val="0"/>
          <w:numId w:val="1"/>
        </w:numPr>
        <w:spacing w:line="240" w:after="100"/>
      </w:pPr>
      <w:r>
        <w:rPr>
          <w:rFonts w:ascii="Arial" w:cs="Arial" w:eastAsia="Arial" w:hAnsi="Arial"/>
          <w:sz w:val="24"/>
          <w:szCs w:val="24"/>
        </w:rPr>
        <w:t xml:space="preserve">Upfront: $15-70M</w:t>
      </w:r>
    </w:p>
    <w:p>
      <w:pPr>
        <w:pStyle w:val="ListParagraph"/>
        <w:numPr>
          <w:ilvl w:val="0"/>
          <w:numId w:val="1"/>
        </w:numPr>
        <w:spacing w:line="240" w:after="100"/>
      </w:pPr>
      <w:r>
        <w:rPr>
          <w:rFonts w:ascii="Arial" w:cs="Arial" w:eastAsia="Arial" w:hAnsi="Arial"/>
          <w:sz w:val="24"/>
          <w:szCs w:val="24"/>
        </w:rPr>
        <w:t xml:space="preserve">Milestone focus on IND nomination, GLP toxicology completion</w:t>
      </w:r>
    </w:p>
    <w:p>
      <w:pPr>
        <w:spacing w:line="240" w:after="120"/>
      </w:pPr>
      <w:r>
        <w:rPr>
          <w:rFonts w:ascii="Arial" w:cs="Arial" w:eastAsia="Arial" w:hAnsi="Arial"/>
          <w:sz w:val="24"/>
          <w:szCs w:val="24"/>
        </w:rPr>
        <w:t xml:space="preserve">Phase 1-2 Stage:</w:t>
      </w:r>
    </w:p>
    <w:p>
      <w:pPr>
        <w:pStyle w:val="ListParagraph"/>
        <w:numPr>
          <w:ilvl w:val="0"/>
          <w:numId w:val="1"/>
        </w:numPr>
        <w:spacing w:line="240" w:after="100"/>
      </w:pPr>
      <w:r>
        <w:rPr>
          <w:rFonts w:ascii="Arial" w:cs="Arial" w:eastAsia="Arial" w:hAnsi="Arial"/>
          <w:sz w:val="24"/>
          <w:szCs w:val="24"/>
        </w:rPr>
        <w:t xml:space="preserve">Upfront: $50-200M</w:t>
      </w:r>
    </w:p>
    <w:p>
      <w:pPr>
        <w:pStyle w:val="ListParagraph"/>
        <w:numPr>
          <w:ilvl w:val="0"/>
          <w:numId w:val="1"/>
        </w:numPr>
        <w:spacing w:line="240" w:after="100"/>
      </w:pPr>
      <w:r>
        <w:rPr>
          <w:rFonts w:ascii="Arial" w:cs="Arial" w:eastAsia="Arial" w:hAnsi="Arial"/>
          <w:sz w:val="24"/>
          <w:szCs w:val="24"/>
        </w:rPr>
        <w:t xml:space="preserve">Milestones for Phase 1 completion, Phase 2 initiation, interim efficacy data</w:t>
      </w:r>
    </w:p>
    <w:p>
      <w:pPr>
        <w:spacing w:line="240" w:after="120"/>
      </w:pPr>
      <w:r>
        <w:rPr>
          <w:rFonts w:ascii="Arial" w:cs="Arial" w:eastAsia="Arial" w:hAnsi="Arial"/>
          <w:sz w:val="24"/>
          <w:szCs w:val="24"/>
        </w:rPr>
        <w:t xml:space="preserve">Phase 2-3 Stage:</w:t>
      </w:r>
    </w:p>
    <w:p>
      <w:pPr>
        <w:pStyle w:val="ListParagraph"/>
        <w:numPr>
          <w:ilvl w:val="0"/>
          <w:numId w:val="1"/>
        </w:numPr>
        <w:spacing w:line="240" w:after="100"/>
      </w:pPr>
      <w:r>
        <w:rPr>
          <w:rFonts w:ascii="Arial" w:cs="Arial" w:eastAsia="Arial" w:hAnsi="Arial"/>
          <w:sz w:val="24"/>
          <w:szCs w:val="24"/>
        </w:rPr>
        <w:t xml:space="preserve">Upfront: $200M-1B+</w:t>
      </w:r>
    </w:p>
    <w:p>
      <w:pPr>
        <w:pStyle w:val="ListParagraph"/>
        <w:numPr>
          <w:ilvl w:val="0"/>
          <w:numId w:val="1"/>
        </w:numPr>
        <w:spacing w:line="240" w:after="100"/>
      </w:pPr>
      <w:r>
        <w:rPr>
          <w:rFonts w:ascii="Arial" w:cs="Arial" w:eastAsia="Arial" w:hAnsi="Arial"/>
          <w:sz w:val="24"/>
          <w:szCs w:val="24"/>
        </w:rPr>
        <w:t xml:space="preserve">Milestones for Phase 2 efficacy readout, Phase 3 initiation, primary endpoint achievement</w:t>
      </w:r>
    </w:p>
    <w:p>
      <w:pPr>
        <w:spacing w:line="240" w:after="120"/>
      </w:pPr>
      <w:r>
        <w:rPr>
          <w:rFonts w:ascii="Arial" w:cs="Arial" w:eastAsia="Arial" w:hAnsi="Arial"/>
          <w:sz w:val="24"/>
          <w:szCs w:val="24"/>
        </w:rPr>
        <w:t xml:space="preserve">M&amp;A Transactions:</w:t>
      </w:r>
    </w:p>
    <w:p>
      <w:pPr>
        <w:pStyle w:val="ListParagraph"/>
        <w:numPr>
          <w:ilvl w:val="0"/>
          <w:numId w:val="1"/>
        </w:numPr>
        <w:spacing w:line="240" w:after="100"/>
      </w:pPr>
      <w:r>
        <w:rPr>
          <w:rFonts w:ascii="Arial" w:cs="Arial" w:eastAsia="Arial" w:hAnsi="Arial"/>
          <w:sz w:val="24"/>
          <w:szCs w:val="24"/>
        </w:rPr>
        <w:t xml:space="preserve">Deal size: $1B+ with full equity value assessment</w:t>
      </w:r>
    </w:p>
    <w:p>
      <w:pPr>
        <w:spacing w:line="240" w:after="120"/>
      </w:pPr>
      <w:r>
        <w:rPr>
          <w:rFonts w:ascii="Arial" w:cs="Arial" w:eastAsia="Arial" w:hAnsi="Arial"/>
          <w:sz w:val="24"/>
          <w:szCs w:val="24"/>
        </w:rPr>
        <w:t xml:space="preserve">Kessler is creative on territory and rights allocation. He will negotiate:</w:t>
      </w:r>
    </w:p>
    <w:p>
      <w:pPr>
        <w:pStyle w:val="ListParagraph"/>
        <w:numPr>
          <w:ilvl w:val="0"/>
          <w:numId w:val="1"/>
        </w:numPr>
        <w:spacing w:line="240" w:after="100"/>
      </w:pPr>
      <w:r>
        <w:rPr>
          <w:rFonts w:ascii="Arial" w:cs="Arial" w:eastAsia="Arial" w:hAnsi="Arial"/>
          <w:sz w:val="24"/>
          <w:szCs w:val="24"/>
        </w:rPr>
        <w:t xml:space="preserve">Territory splits (willing to share US/EMA/Japan rights if partner has strength in specific markets)</w:t>
      </w:r>
    </w:p>
    <w:p>
      <w:pPr>
        <w:pStyle w:val="ListParagraph"/>
        <w:numPr>
          <w:ilvl w:val="0"/>
          <w:numId w:val="1"/>
        </w:numPr>
        <w:spacing w:line="240" w:after="100"/>
      </w:pPr>
      <w:r>
        <w:rPr>
          <w:rFonts w:ascii="Arial" w:cs="Arial" w:eastAsia="Arial" w:hAnsi="Arial"/>
          <w:sz w:val="24"/>
          <w:szCs w:val="24"/>
        </w:rPr>
        <w:t xml:space="preserve">Co-development and co-commercialization arrangements</w:t>
      </w:r>
    </w:p>
    <w:p>
      <w:pPr>
        <w:pStyle w:val="ListParagraph"/>
        <w:numPr>
          <w:ilvl w:val="0"/>
          <w:numId w:val="1"/>
        </w:numPr>
        <w:spacing w:line="240" w:after="100"/>
      </w:pPr>
      <w:r>
        <w:rPr>
          <w:rFonts w:ascii="Arial" w:cs="Arial" w:eastAsia="Arial" w:hAnsi="Arial"/>
          <w:sz w:val="24"/>
          <w:szCs w:val="24"/>
        </w:rPr>
        <w:t xml:space="preserve">Option structures where Biogen retains upside on expansion</w:t>
      </w:r>
    </w:p>
    <w:p>
      <w:pPr>
        <w:spacing w:line="240" w:after="120"/>
      </w:pPr>
      <w:r>
        <w:rPr>
          <w:rFonts w:ascii="Arial" w:cs="Arial" w:eastAsia="Arial" w:hAnsi="Arial"/>
          <w:sz w:val="24"/>
          <w:szCs w:val="24"/>
        </w:rPr>
        <w:t xml:space="preserve">However, his preference is for exclusive rights and deep partnership integration. He views external partnerships as extensions of Biogen's internal team, not transactional licensing arrangements. Joint steering committees, integrated program management, and shared milestone accountability are expected.</w:t>
      </w:r>
    </w:p>
    <w:p>
      <w:r>
        <w:t xml:space="preserve"/>
      </w:r>
    </w:p>
    <w:p>
      <w:pPr>
        <w:spacing w:after="200" w:before="200"/>
      </w:pPr>
      <w:r>
        <w:rPr>
          <w:rFonts w:ascii="Arial" w:cs="Arial" w:eastAsia="Arial" w:hAnsi="Arial"/>
          <w:b/>
          <w:bCs/>
          <w:sz w:val="28"/>
          <w:szCs w:val="28"/>
        </w:rPr>
        <w:t xml:space="preserve">7. Pain Points &amp; Frustrations</w:t>
      </w:r>
    </w:p>
    <w:p>
      <w:pPr>
        <w:spacing w:line="240" w:after="120"/>
      </w:pPr>
      <w:r>
        <w:rPr>
          <w:rFonts w:ascii="Arial" w:cs="Arial" w:eastAsia="Arial" w:hAnsi="Arial"/>
          <w:sz w:val="24"/>
          <w:szCs w:val="24"/>
        </w:rPr>
        <w:t xml:space="preserve">Kessler navigates several organizational challenges that shape his BD strategy:</w:t>
      </w:r>
    </w:p>
    <w:p>
      <w:pPr>
        <w:spacing w:line="240" w:after="120"/>
      </w:pPr>
      <w:r>
        <w:rPr>
          <w:rFonts w:ascii="Arial" w:cs="Arial" w:eastAsia="Arial" w:hAnsi="Arial"/>
          <w:sz w:val="24"/>
          <w:szCs w:val="24"/>
        </w:rPr>
        <w:t xml:space="preserve">Scientific Credibility &amp; Aducanumab Legacy:</w:t>
      </w:r>
    </w:p>
    <w:p>
      <w:pPr>
        <w:pStyle w:val="ListParagraph"/>
        <w:numPr>
          <w:ilvl w:val="0"/>
          <w:numId w:val="1"/>
        </w:numPr>
        <w:spacing w:line="240" w:after="100"/>
      </w:pPr>
      <w:r>
        <w:rPr>
          <w:rFonts w:ascii="Arial" w:cs="Arial" w:eastAsia="Arial" w:hAnsi="Arial"/>
          <w:sz w:val="24"/>
          <w:szCs w:val="24"/>
        </w:rPr>
        <w:t xml:space="preserve">The aducanumab discontinuation damaged Biogen's reputation for scientific rigor</w:t>
      </w:r>
    </w:p>
    <w:p>
      <w:pPr>
        <w:pStyle w:val="ListParagraph"/>
        <w:numPr>
          <w:ilvl w:val="0"/>
          <w:numId w:val="1"/>
        </w:numPr>
        <w:spacing w:line="240" w:after="100"/>
      </w:pPr>
      <w:r>
        <w:rPr>
          <w:rFonts w:ascii="Arial" w:cs="Arial" w:eastAsia="Arial" w:hAnsi="Arial"/>
          <w:sz w:val="24"/>
          <w:szCs w:val="24"/>
        </w:rPr>
        <w:t xml:space="preserve">BD partnerships now scrutinize Biogen's internal data evaluation more carefully</w:t>
      </w:r>
    </w:p>
    <w:p>
      <w:pPr>
        <w:pStyle w:val="ListParagraph"/>
        <w:numPr>
          <w:ilvl w:val="0"/>
          <w:numId w:val="1"/>
        </w:numPr>
        <w:spacing w:line="240" w:after="100"/>
      </w:pPr>
      <w:r>
        <w:rPr>
          <w:rFonts w:ascii="Arial" w:cs="Arial" w:eastAsia="Arial" w:hAnsi="Arial"/>
          <w:sz w:val="24"/>
          <w:szCs w:val="24"/>
        </w:rPr>
        <w:t xml:space="preserve">Kessler works hard to restore confidence through transparent science discussions</w:t>
      </w:r>
    </w:p>
    <w:p>
      <w:pPr>
        <w:spacing w:line="240" w:after="120"/>
      </w:pPr>
      <w:r>
        <w:rPr>
          <w:rFonts w:ascii="Arial" w:cs="Arial" w:eastAsia="Arial" w:hAnsi="Arial"/>
          <w:sz w:val="24"/>
          <w:szCs w:val="24"/>
        </w:rPr>
        <w:t xml:space="preserve">Repeated Restructuring &amp; Workforce Volatility:</w:t>
      </w:r>
    </w:p>
    <w:p>
      <w:pPr>
        <w:pStyle w:val="ListParagraph"/>
        <w:numPr>
          <w:ilvl w:val="0"/>
          <w:numId w:val="1"/>
        </w:numPr>
        <w:spacing w:line="240" w:after="100"/>
      </w:pPr>
      <w:r>
        <w:rPr>
          <w:rFonts w:ascii="Arial" w:cs="Arial" w:eastAsia="Arial" w:hAnsi="Arial"/>
          <w:sz w:val="24"/>
          <w:szCs w:val="24"/>
        </w:rPr>
        <w:t xml:space="preserve">1000+ cumulative layoffs over recent years create partnership uncertainty</w:t>
      </w:r>
    </w:p>
    <w:p>
      <w:pPr>
        <w:pStyle w:val="ListParagraph"/>
        <w:numPr>
          <w:ilvl w:val="0"/>
          <w:numId w:val="1"/>
        </w:numPr>
        <w:spacing w:line="240" w:after="100"/>
      </w:pPr>
      <w:r>
        <w:rPr>
          <w:rFonts w:ascii="Arial" w:cs="Arial" w:eastAsia="Arial" w:hAnsi="Arial"/>
          <w:sz w:val="24"/>
          <w:szCs w:val="24"/>
        </w:rPr>
        <w:t xml:space="preserve">Biotech partners worry about Biogen's ability to execute and maintain dedicated resources</w:t>
      </w:r>
    </w:p>
    <w:p>
      <w:pPr>
        <w:pStyle w:val="ListParagraph"/>
        <w:numPr>
          <w:ilvl w:val="0"/>
          <w:numId w:val="1"/>
        </w:numPr>
        <w:spacing w:line="240" w:after="100"/>
      </w:pPr>
      <w:r>
        <w:rPr>
          <w:rFonts w:ascii="Arial" w:cs="Arial" w:eastAsia="Arial" w:hAnsi="Arial"/>
          <w:sz w:val="24"/>
          <w:szCs w:val="24"/>
        </w:rPr>
        <w:t xml:space="preserve">Kessler must actively reassure partners about commitment to specific programs</w:t>
      </w:r>
    </w:p>
    <w:p>
      <w:pPr>
        <w:spacing w:line="240" w:after="120"/>
      </w:pPr>
      <w:r>
        <w:rPr>
          <w:rFonts w:ascii="Arial" w:cs="Arial" w:eastAsia="Arial" w:hAnsi="Arial"/>
          <w:sz w:val="24"/>
          <w:szCs w:val="24"/>
        </w:rPr>
        <w:t xml:space="preserve">Portfolio Volatility &amp; Clinical Setbacks:</w:t>
      </w:r>
    </w:p>
    <w:p>
      <w:pPr>
        <w:pStyle w:val="ListParagraph"/>
        <w:numPr>
          <w:ilvl w:val="0"/>
          <w:numId w:val="1"/>
        </w:numPr>
        <w:spacing w:line="240" w:after="100"/>
      </w:pPr>
      <w:r>
        <w:rPr>
          <w:rFonts w:ascii="Arial" w:cs="Arial" w:eastAsia="Arial" w:hAnsi="Arial"/>
          <w:sz w:val="24"/>
          <w:szCs w:val="24"/>
        </w:rPr>
        <w:t xml:space="preserve">Pipeline challenges create shifting internal priorities</w:t>
      </w:r>
    </w:p>
    <w:p>
      <w:pPr>
        <w:pStyle w:val="ListParagraph"/>
        <w:numPr>
          <w:ilvl w:val="0"/>
          <w:numId w:val="1"/>
        </w:numPr>
        <w:spacing w:line="240" w:after="100"/>
      </w:pPr>
      <w:r>
        <w:rPr>
          <w:rFonts w:ascii="Arial" w:cs="Arial" w:eastAsia="Arial" w:hAnsi="Arial"/>
          <w:sz w:val="24"/>
          <w:szCs w:val="24"/>
        </w:rPr>
        <w:t xml:space="preserve">Resources can be redirected away from partnered programs during downturns</w:t>
      </w:r>
    </w:p>
    <w:p>
      <w:pPr>
        <w:spacing w:line="240" w:after="120"/>
      </w:pPr>
      <w:r>
        <w:rPr>
          <w:rFonts w:ascii="Arial" w:cs="Arial" w:eastAsia="Arial" w:hAnsi="Arial"/>
          <w:sz w:val="24"/>
          <w:szCs w:val="24"/>
        </w:rPr>
        <w:t xml:space="preserve">Cost-Cutting Cycles:</w:t>
      </w:r>
    </w:p>
    <w:p>
      <w:pPr>
        <w:pStyle w:val="ListParagraph"/>
        <w:numPr>
          <w:ilvl w:val="0"/>
          <w:numId w:val="1"/>
        </w:numPr>
        <w:spacing w:line="240" w:after="100"/>
      </w:pPr>
      <w:r>
        <w:rPr>
          <w:rFonts w:ascii="Arial" w:cs="Arial" w:eastAsia="Arial" w:hAnsi="Arial"/>
          <w:sz w:val="24"/>
          <w:szCs w:val="24"/>
        </w:rPr>
        <w:t xml:space="preserve">Efficiency initiatives sometimes conflict with BD partnership needs</w:t>
      </w:r>
    </w:p>
    <w:p>
      <w:pPr>
        <w:pStyle w:val="ListParagraph"/>
        <w:numPr>
          <w:ilvl w:val="0"/>
          <w:numId w:val="1"/>
        </w:numPr>
        <w:spacing w:line="240" w:after="100"/>
      </w:pPr>
      <w:r>
        <w:rPr>
          <w:rFonts w:ascii="Arial" w:cs="Arial" w:eastAsia="Arial" w:hAnsi="Arial"/>
          <w:sz w:val="24"/>
          <w:szCs w:val="24"/>
        </w:rPr>
        <w:t xml:space="preserve">Partnership integration resources are sometimes constrained</w:t>
      </w:r>
    </w:p>
    <w:p>
      <w:pPr>
        <w:spacing w:line="240" w:after="120"/>
      </w:pPr>
      <w:r>
        <w:rPr>
          <w:rFonts w:ascii="Arial" w:cs="Arial" w:eastAsia="Arial" w:hAnsi="Arial"/>
          <w:sz w:val="24"/>
          <w:szCs w:val="24"/>
        </w:rPr>
        <w:t xml:space="preserve">Slow Internal Decision-Making:</w:t>
      </w:r>
    </w:p>
    <w:p>
      <w:pPr>
        <w:pStyle w:val="ListParagraph"/>
        <w:numPr>
          <w:ilvl w:val="0"/>
          <w:numId w:val="1"/>
        </w:numPr>
        <w:spacing w:line="240" w:after="100"/>
      </w:pPr>
      <w:r>
        <w:rPr>
          <w:rFonts w:ascii="Arial" w:cs="Arial" w:eastAsia="Arial" w:hAnsi="Arial"/>
          <w:sz w:val="24"/>
          <w:szCs w:val="24"/>
        </w:rPr>
        <w:t xml:space="preserve">Large company bureaucracy slows partnership responsiveness</w:t>
      </w:r>
    </w:p>
    <w:p>
      <w:pPr>
        <w:pStyle w:val="ListParagraph"/>
        <w:numPr>
          <w:ilvl w:val="0"/>
          <w:numId w:val="1"/>
        </w:numPr>
        <w:spacing w:line="240" w:after="100"/>
      </w:pPr>
      <w:r>
        <w:rPr>
          <w:rFonts w:ascii="Arial" w:cs="Arial" w:eastAsia="Arial" w:hAnsi="Arial"/>
          <w:sz w:val="24"/>
          <w:szCs w:val="24"/>
        </w:rPr>
        <w:t xml:space="preserve">Matrix organizational structure can obscure accountability</w:t>
      </w:r>
    </w:p>
    <w:p>
      <w:r>
        <w:t xml:space="preserve"/>
      </w:r>
    </w:p>
    <w:p>
      <w:pPr>
        <w:spacing w:after="200" w:before="200"/>
      </w:pPr>
      <w:r>
        <w:rPr>
          <w:rFonts w:ascii="Arial" w:cs="Arial" w:eastAsia="Arial" w:hAnsi="Arial"/>
          <w:b/>
          <w:bCs/>
          <w:sz w:val="28"/>
          <w:szCs w:val="28"/>
        </w:rPr>
        <w:t xml:space="preserve">8. What Gets Them Excited</w:t>
      </w:r>
    </w:p>
    <w:p>
      <w:pPr>
        <w:spacing w:line="240" w:after="120"/>
      </w:pPr>
      <w:r>
        <w:rPr>
          <w:rFonts w:ascii="Arial" w:cs="Arial" w:eastAsia="Arial" w:hAnsi="Arial"/>
          <w:sz w:val="24"/>
          <w:szCs w:val="24"/>
        </w:rPr>
        <w:t xml:space="preserve">Kessler is genuinely energized by innovation that expands Biogen's capabilities and addresses significant unmet medical needs:</w:t>
      </w:r>
    </w:p>
    <w:p>
      <w:pPr>
        <w:spacing w:line="240" w:after="120"/>
      </w:pPr>
      <w:r>
        <w:rPr>
          <w:rFonts w:ascii="Arial" w:cs="Arial" w:eastAsia="Arial" w:hAnsi="Arial"/>
          <w:sz w:val="24"/>
          <w:szCs w:val="24"/>
        </w:rPr>
        <w:t xml:space="preserve">Modality-Expanding Platforms:</w:t>
      </w:r>
    </w:p>
    <w:p>
      <w:pPr>
        <w:pStyle w:val="ListParagraph"/>
        <w:numPr>
          <w:ilvl w:val="0"/>
          <w:numId w:val="1"/>
        </w:numPr>
        <w:spacing w:line="240" w:after="100"/>
      </w:pPr>
      <w:r>
        <w:rPr>
          <w:rFonts w:ascii="Arial" w:cs="Arial" w:eastAsia="Arial" w:hAnsi="Arial"/>
          <w:sz w:val="24"/>
          <w:szCs w:val="24"/>
        </w:rPr>
        <w:t xml:space="preserve">RNAi, molecular glue degraders, next-gen gene therapy platforms excite him</w:t>
      </w:r>
    </w:p>
    <w:p>
      <w:pPr>
        <w:pStyle w:val="ListParagraph"/>
        <w:numPr>
          <w:ilvl w:val="0"/>
          <w:numId w:val="1"/>
        </w:numPr>
        <w:spacing w:line="240" w:after="100"/>
      </w:pPr>
      <w:r>
        <w:rPr>
          <w:rFonts w:ascii="Arial" w:cs="Arial" w:eastAsia="Arial" w:hAnsi="Arial"/>
          <w:sz w:val="24"/>
          <w:szCs w:val="24"/>
        </w:rPr>
        <w:t xml:space="preserve">Technologies enabling blood-brain barrier (BBB) penetration</w:t>
      </w:r>
    </w:p>
    <w:p>
      <w:pPr>
        <w:pStyle w:val="ListParagraph"/>
        <w:numPr>
          <w:ilvl w:val="0"/>
          <w:numId w:val="1"/>
        </w:numPr>
        <w:spacing w:line="240" w:after="100"/>
      </w:pPr>
      <w:r>
        <w:rPr>
          <w:rFonts w:ascii="Arial" w:cs="Arial" w:eastAsia="Arial" w:hAnsi="Arial"/>
          <w:sz w:val="24"/>
          <w:szCs w:val="24"/>
        </w:rPr>
        <w:t xml:space="preserve">Dual-modality approaches (combination therapeutics)</w:t>
      </w:r>
    </w:p>
    <w:p>
      <w:pPr>
        <w:spacing w:line="240" w:after="120"/>
      </w:pPr>
      <w:r>
        <w:rPr>
          <w:rFonts w:ascii="Arial" w:cs="Arial" w:eastAsia="Arial" w:hAnsi="Arial"/>
          <w:sz w:val="24"/>
          <w:szCs w:val="24"/>
        </w:rPr>
        <w:t xml:space="preserve">Rare Neurological Diseases:</w:t>
      </w:r>
    </w:p>
    <w:p>
      <w:pPr>
        <w:pStyle w:val="ListParagraph"/>
        <w:numPr>
          <w:ilvl w:val="0"/>
          <w:numId w:val="1"/>
        </w:numPr>
        <w:spacing w:line="240" w:after="100"/>
      </w:pPr>
      <w:r>
        <w:rPr>
          <w:rFonts w:ascii="Arial" w:cs="Arial" w:eastAsia="Arial" w:hAnsi="Arial"/>
          <w:sz w:val="24"/>
          <w:szCs w:val="24"/>
        </w:rPr>
        <w:t xml:space="preserve">High unmet need, defined patient populations, faster regulatory pathways</w:t>
      </w:r>
    </w:p>
    <w:p>
      <w:pPr>
        <w:pStyle w:val="ListParagraph"/>
        <w:numPr>
          <w:ilvl w:val="0"/>
          <w:numId w:val="1"/>
        </w:numPr>
        <w:spacing w:line="240" w:after="100"/>
      </w:pPr>
      <w:r>
        <w:rPr>
          <w:rFonts w:ascii="Arial" w:cs="Arial" w:eastAsia="Arial" w:hAnsi="Arial"/>
          <w:sz w:val="24"/>
          <w:szCs w:val="24"/>
        </w:rPr>
        <w:t xml:space="preserve">Opportunity to establish first-in-disease or first-in-class positions</w:t>
      </w:r>
    </w:p>
    <w:p>
      <w:pPr>
        <w:spacing w:line="240" w:after="120"/>
      </w:pPr>
      <w:r>
        <w:rPr>
          <w:rFonts w:ascii="Arial" w:cs="Arial" w:eastAsia="Arial" w:hAnsi="Arial"/>
          <w:sz w:val="24"/>
          <w:szCs w:val="24"/>
        </w:rPr>
        <w:t xml:space="preserve">De-Risked Phase 2 Assets:</w:t>
      </w:r>
    </w:p>
    <w:p>
      <w:pPr>
        <w:pStyle w:val="ListParagraph"/>
        <w:numPr>
          <w:ilvl w:val="0"/>
          <w:numId w:val="1"/>
        </w:numPr>
        <w:spacing w:line="240" w:after="100"/>
      </w:pPr>
      <w:r>
        <w:rPr>
          <w:rFonts w:ascii="Arial" w:cs="Arial" w:eastAsia="Arial" w:hAnsi="Arial"/>
          <w:sz w:val="24"/>
          <w:szCs w:val="24"/>
        </w:rPr>
        <w:t xml:space="preserve">Clinical proof-of-concept achieved, mechanism validated</w:t>
      </w:r>
    </w:p>
    <w:p>
      <w:pPr>
        <w:pStyle w:val="ListParagraph"/>
        <w:numPr>
          <w:ilvl w:val="0"/>
          <w:numId w:val="1"/>
        </w:numPr>
        <w:spacing w:line="240" w:after="100"/>
      </w:pPr>
      <w:r>
        <w:rPr>
          <w:rFonts w:ascii="Arial" w:cs="Arial" w:eastAsia="Arial" w:hAnsi="Arial"/>
          <w:sz w:val="24"/>
          <w:szCs w:val="24"/>
        </w:rPr>
        <w:t xml:space="preserve">Clear path to Phase 3 and commercialization</w:t>
      </w:r>
    </w:p>
    <w:p>
      <w:pPr>
        <w:spacing w:line="240" w:after="120"/>
      </w:pPr>
      <w:r>
        <w:rPr>
          <w:rFonts w:ascii="Arial" w:cs="Arial" w:eastAsia="Arial" w:hAnsi="Arial"/>
          <w:sz w:val="24"/>
          <w:szCs w:val="24"/>
        </w:rPr>
        <w:t xml:space="preserve">Scientific Excellence:</w:t>
      </w:r>
    </w:p>
    <w:p>
      <w:pPr>
        <w:pStyle w:val="ListParagraph"/>
        <w:numPr>
          <w:ilvl w:val="0"/>
          <w:numId w:val="1"/>
        </w:numPr>
        <w:spacing w:line="240" w:after="100"/>
      </w:pPr>
      <w:r>
        <w:rPr>
          <w:rFonts w:ascii="Arial" w:cs="Arial" w:eastAsia="Arial" w:hAnsi="Arial"/>
          <w:sz w:val="24"/>
          <w:szCs w:val="24"/>
        </w:rPr>
        <w:t xml:space="preserve">Teams with strong translational capabilities and disease expertise</w:t>
      </w:r>
    </w:p>
    <w:p>
      <w:pPr>
        <w:pStyle w:val="ListParagraph"/>
        <w:numPr>
          <w:ilvl w:val="0"/>
          <w:numId w:val="1"/>
        </w:numPr>
        <w:spacing w:line="240" w:after="100"/>
      </w:pPr>
      <w:r>
        <w:rPr>
          <w:rFonts w:ascii="Arial" w:cs="Arial" w:eastAsia="Arial" w:hAnsi="Arial"/>
          <w:sz w:val="24"/>
          <w:szCs w:val="24"/>
        </w:rPr>
        <w:t xml:space="preserve">Collaborative research partnerships with academic centers</w:t>
      </w:r>
    </w:p>
    <w:p>
      <w:pPr>
        <w:spacing w:line="240" w:after="120"/>
      </w:pPr>
      <w:r>
        <w:rPr>
          <w:rFonts w:ascii="Arial" w:cs="Arial" w:eastAsia="Arial" w:hAnsi="Arial"/>
          <w:sz w:val="24"/>
          <w:szCs w:val="24"/>
        </w:rPr>
        <w:t xml:space="preserve">Multi-Target &amp; Combination Approaches:</w:t>
      </w:r>
    </w:p>
    <w:p>
      <w:pPr>
        <w:pStyle w:val="ListParagraph"/>
        <w:numPr>
          <w:ilvl w:val="0"/>
          <w:numId w:val="1"/>
        </w:numPr>
        <w:spacing w:line="240" w:after="100"/>
      </w:pPr>
      <w:r>
        <w:rPr>
          <w:rFonts w:ascii="Arial" w:cs="Arial" w:eastAsia="Arial" w:hAnsi="Arial"/>
          <w:sz w:val="24"/>
          <w:szCs w:val="24"/>
        </w:rPr>
        <w:t xml:space="preserve">Understanding that single-target biology is often insufficient for complex neurological disease</w:t>
      </w:r>
    </w:p>
    <w:p>
      <w:pPr>
        <w:pStyle w:val="ListParagraph"/>
        <w:numPr>
          <w:ilvl w:val="0"/>
          <w:numId w:val="1"/>
        </w:numPr>
        <w:spacing w:line="240" w:after="100"/>
      </w:pPr>
      <w:r>
        <w:rPr>
          <w:rFonts w:ascii="Arial" w:cs="Arial" w:eastAsia="Arial" w:hAnsi="Arial"/>
          <w:sz w:val="24"/>
          <w:szCs w:val="24"/>
        </w:rPr>
        <w:t xml:space="preserve">Interest in rational combination strategies</w:t>
      </w:r>
    </w:p>
    <w:p>
      <w:r>
        <w:t xml:space="preserve"/>
      </w:r>
    </w:p>
    <w:p>
      <w:pPr>
        <w:spacing w:after="200" w:before="200"/>
      </w:pPr>
      <w:r>
        <w:rPr>
          <w:rFonts w:ascii="Arial" w:cs="Arial" w:eastAsia="Arial" w:hAnsi="Arial"/>
          <w:b/>
          <w:bCs/>
          <w:sz w:val="28"/>
          <w:szCs w:val="28"/>
        </w:rPr>
        <w:t xml:space="preserve">9. How They Engage with Biotech</w:t>
      </w:r>
    </w:p>
    <w:p>
      <w:pPr>
        <w:spacing w:line="240" w:after="120"/>
      </w:pPr>
      <w:r>
        <w:rPr>
          <w:rFonts w:ascii="Arial" w:cs="Arial" w:eastAsia="Arial" w:hAnsi="Arial"/>
          <w:sz w:val="24"/>
          <w:szCs w:val="24"/>
        </w:rPr>
        <w:t xml:space="preserve">Kessler's engagement model is executive-level and hands-on:</w:t>
      </w:r>
    </w:p>
    <w:p>
      <w:pPr>
        <w:spacing w:line="240" w:after="120"/>
      </w:pPr>
      <w:r>
        <w:rPr>
          <w:rFonts w:ascii="Arial" w:cs="Arial" w:eastAsia="Arial" w:hAnsi="Arial"/>
          <w:sz w:val="24"/>
          <w:szCs w:val="24"/>
        </w:rPr>
        <w:t xml:space="preserve">Early-Stage Engagement:</w:t>
      </w:r>
    </w:p>
    <w:p>
      <w:pPr>
        <w:pStyle w:val="ListParagraph"/>
        <w:numPr>
          <w:ilvl w:val="0"/>
          <w:numId w:val="1"/>
        </w:numPr>
        <w:spacing w:line="240" w:after="100"/>
      </w:pPr>
      <w:r>
        <w:rPr>
          <w:rFonts w:ascii="Arial" w:cs="Arial" w:eastAsia="Arial" w:hAnsi="Arial"/>
          <w:sz w:val="24"/>
          <w:szCs w:val="24"/>
        </w:rPr>
        <w:t xml:space="preserve">Initial discussions often include Kessler or his direct reports</w:t>
      </w:r>
    </w:p>
    <w:p>
      <w:pPr>
        <w:pStyle w:val="ListParagraph"/>
        <w:numPr>
          <w:ilvl w:val="0"/>
          <w:numId w:val="1"/>
        </w:numPr>
        <w:spacing w:line="240" w:after="100"/>
      </w:pPr>
      <w:r>
        <w:rPr>
          <w:rFonts w:ascii="Arial" w:cs="Arial" w:eastAsia="Arial" w:hAnsi="Arial"/>
          <w:sz w:val="24"/>
          <w:szCs w:val="24"/>
        </w:rPr>
        <w:t xml:space="preserve">Does not delegate early screening to junior analysts</w:t>
      </w:r>
    </w:p>
    <w:p>
      <w:pPr>
        <w:pStyle w:val="ListParagraph"/>
        <w:numPr>
          <w:ilvl w:val="0"/>
          <w:numId w:val="1"/>
        </w:numPr>
        <w:spacing w:line="240" w:after="100"/>
      </w:pPr>
      <w:r>
        <w:rPr>
          <w:rFonts w:ascii="Arial" w:cs="Arial" w:eastAsia="Arial" w:hAnsi="Arial"/>
          <w:sz w:val="24"/>
          <w:szCs w:val="24"/>
        </w:rPr>
        <w:t xml:space="preserve">Values meeting founders and core science team directly</w:t>
      </w:r>
    </w:p>
    <w:p>
      <w:pPr>
        <w:spacing w:line="240" w:after="120"/>
      </w:pPr>
      <w:r>
        <w:rPr>
          <w:rFonts w:ascii="Arial" w:cs="Arial" w:eastAsia="Arial" w:hAnsi="Arial"/>
          <w:sz w:val="24"/>
          <w:szCs w:val="24"/>
        </w:rPr>
        <w:t xml:space="preserve">Cross-Functional Evaluation:</w:t>
      </w:r>
    </w:p>
    <w:p>
      <w:pPr>
        <w:pStyle w:val="ListParagraph"/>
        <w:numPr>
          <w:ilvl w:val="0"/>
          <w:numId w:val="1"/>
        </w:numPr>
        <w:spacing w:line="240" w:after="100"/>
      </w:pPr>
      <w:r>
        <w:rPr>
          <w:rFonts w:ascii="Arial" w:cs="Arial" w:eastAsia="Arial" w:hAnsi="Arial"/>
          <w:sz w:val="24"/>
          <w:szCs w:val="24"/>
        </w:rPr>
        <w:t xml:space="preserve">R&amp;D representation from discovery and development leaders</w:t>
      </w:r>
    </w:p>
    <w:p>
      <w:pPr>
        <w:pStyle w:val="ListParagraph"/>
        <w:numPr>
          <w:ilvl w:val="0"/>
          <w:numId w:val="1"/>
        </w:numPr>
        <w:spacing w:line="240" w:after="100"/>
      </w:pPr>
      <w:r>
        <w:rPr>
          <w:rFonts w:ascii="Arial" w:cs="Arial" w:eastAsia="Arial" w:hAnsi="Arial"/>
          <w:sz w:val="24"/>
          <w:szCs w:val="24"/>
        </w:rPr>
        <w:t xml:space="preserve">Finance team assesses business model and deal structure feasibility</w:t>
      </w:r>
    </w:p>
    <w:p>
      <w:pPr>
        <w:pStyle w:val="ListParagraph"/>
        <w:numPr>
          <w:ilvl w:val="0"/>
          <w:numId w:val="1"/>
        </w:numPr>
        <w:spacing w:line="240" w:after="100"/>
      </w:pPr>
      <w:r>
        <w:rPr>
          <w:rFonts w:ascii="Arial" w:cs="Arial" w:eastAsia="Arial" w:hAnsi="Arial"/>
          <w:sz w:val="24"/>
          <w:szCs w:val="24"/>
        </w:rPr>
        <w:t xml:space="preserve">Strategy team reviews competitive landscape and market timing</w:t>
      </w:r>
    </w:p>
    <w:p>
      <w:pPr>
        <w:pStyle w:val="ListParagraph"/>
        <w:numPr>
          <w:ilvl w:val="0"/>
          <w:numId w:val="1"/>
        </w:numPr>
        <w:spacing w:line="240" w:after="100"/>
      </w:pPr>
      <w:r>
        <w:rPr>
          <w:rFonts w:ascii="Arial" w:cs="Arial" w:eastAsia="Arial" w:hAnsi="Arial"/>
          <w:sz w:val="24"/>
          <w:szCs w:val="24"/>
        </w:rPr>
        <w:t xml:space="preserve">Quality Assurance confirms manufacturing/CMC viability</w:t>
      </w:r>
    </w:p>
    <w:p>
      <w:pPr>
        <w:spacing w:line="240" w:after="120"/>
      </w:pPr>
      <w:r>
        <w:rPr>
          <w:rFonts w:ascii="Arial" w:cs="Arial" w:eastAsia="Arial" w:hAnsi="Arial"/>
          <w:sz w:val="24"/>
          <w:szCs w:val="24"/>
        </w:rPr>
        <w:t xml:space="preserve">Deep Partnership Integration:</w:t>
      </w:r>
    </w:p>
    <w:p>
      <w:pPr>
        <w:pStyle w:val="ListParagraph"/>
        <w:numPr>
          <w:ilvl w:val="0"/>
          <w:numId w:val="1"/>
        </w:numPr>
        <w:spacing w:line="240" w:after="100"/>
      </w:pPr>
      <w:r>
        <w:rPr>
          <w:rFonts w:ascii="Arial" w:cs="Arial" w:eastAsia="Arial" w:hAnsi="Arial"/>
          <w:sz w:val="24"/>
          <w:szCs w:val="24"/>
        </w:rPr>
        <w:t xml:space="preserve">Philosophy: "Every external partnership becomes core part of Biogen's business"</w:t>
      </w:r>
    </w:p>
    <w:p>
      <w:pPr>
        <w:pStyle w:val="ListParagraph"/>
        <w:numPr>
          <w:ilvl w:val="0"/>
          <w:numId w:val="1"/>
        </w:numPr>
        <w:spacing w:line="240" w:after="100"/>
      </w:pPr>
      <w:r>
        <w:rPr>
          <w:rFonts w:ascii="Arial" w:cs="Arial" w:eastAsia="Arial" w:hAnsi="Arial"/>
          <w:sz w:val="24"/>
          <w:szCs w:val="24"/>
        </w:rPr>
        <w:t xml:space="preserve">Integrated program management from day one</w:t>
      </w:r>
    </w:p>
    <w:p>
      <w:pPr>
        <w:pStyle w:val="ListParagraph"/>
        <w:numPr>
          <w:ilvl w:val="0"/>
          <w:numId w:val="1"/>
        </w:numPr>
        <w:spacing w:line="240" w:after="100"/>
      </w:pPr>
      <w:r>
        <w:rPr>
          <w:rFonts w:ascii="Arial" w:cs="Arial" w:eastAsia="Arial" w:hAnsi="Arial"/>
          <w:sz w:val="24"/>
          <w:szCs w:val="24"/>
        </w:rPr>
        <w:t xml:space="preserve">Shared KPIs and milestone accountability</w:t>
      </w:r>
    </w:p>
    <w:p>
      <w:pPr>
        <w:pStyle w:val="ListParagraph"/>
        <w:numPr>
          <w:ilvl w:val="0"/>
          <w:numId w:val="1"/>
        </w:numPr>
        <w:spacing w:line="240" w:after="100"/>
      </w:pPr>
      <w:r>
        <w:rPr>
          <w:rFonts w:ascii="Arial" w:cs="Arial" w:eastAsia="Arial" w:hAnsi="Arial"/>
          <w:sz w:val="24"/>
          <w:szCs w:val="24"/>
        </w:rPr>
        <w:t xml:space="preserve">Quarterly executive steering committee reviews</w:t>
      </w:r>
    </w:p>
    <w:p>
      <w:pPr>
        <w:spacing w:line="240" w:after="120"/>
      </w:pPr>
      <w:r>
        <w:rPr>
          <w:rFonts w:ascii="Arial" w:cs="Arial" w:eastAsia="Arial" w:hAnsi="Arial"/>
          <w:sz w:val="24"/>
          <w:szCs w:val="24"/>
        </w:rPr>
        <w:t xml:space="preserve">Personalized Attention from Senior Leaders:</w:t>
      </w:r>
    </w:p>
    <w:p>
      <w:pPr>
        <w:pStyle w:val="ListParagraph"/>
        <w:numPr>
          <w:ilvl w:val="0"/>
          <w:numId w:val="1"/>
        </w:numPr>
        <w:spacing w:line="240" w:after="100"/>
      </w:pPr>
      <w:r>
        <w:rPr>
          <w:rFonts w:ascii="Arial" w:cs="Arial" w:eastAsia="Arial" w:hAnsi="Arial"/>
          <w:sz w:val="24"/>
          <w:szCs w:val="24"/>
        </w:rPr>
        <w:t xml:space="preserve">Kessler often serves as executive sponsor for major partnerships</w:t>
      </w:r>
    </w:p>
    <w:p>
      <w:pPr>
        <w:pStyle w:val="ListParagraph"/>
        <w:numPr>
          <w:ilvl w:val="0"/>
          <w:numId w:val="1"/>
        </w:numPr>
        <w:spacing w:line="240" w:after="100"/>
      </w:pPr>
      <w:r>
        <w:rPr>
          <w:rFonts w:ascii="Arial" w:cs="Arial" w:eastAsia="Arial" w:hAnsi="Arial"/>
          <w:sz w:val="24"/>
          <w:szCs w:val="24"/>
        </w:rPr>
        <w:t xml:space="preserve">Direct access to C-suite for critical decisions</w:t>
      </w:r>
    </w:p>
    <w:p>
      <w:pPr>
        <w:pStyle w:val="ListParagraph"/>
        <w:numPr>
          <w:ilvl w:val="0"/>
          <w:numId w:val="1"/>
        </w:numPr>
        <w:spacing w:line="240" w:after="100"/>
      </w:pPr>
      <w:r>
        <w:rPr>
          <w:rFonts w:ascii="Arial" w:cs="Arial" w:eastAsia="Arial" w:hAnsi="Arial"/>
          <w:sz w:val="24"/>
          <w:szCs w:val="24"/>
        </w:rPr>
        <w:t xml:space="preserve">Predictable, reliable communication cadence</w:t>
      </w:r>
    </w:p>
    <w:p>
      <w:pPr>
        <w:spacing w:line="240" w:after="120"/>
      </w:pPr>
      <w:r>
        <w:rPr>
          <w:rFonts w:ascii="Arial" w:cs="Arial" w:eastAsia="Arial" w:hAnsi="Arial"/>
          <w:sz w:val="24"/>
          <w:szCs w:val="24"/>
        </w:rPr>
        <w:t xml:space="preserve">Timeline Expectations:</w:t>
      </w:r>
    </w:p>
    <w:p>
      <w:pPr>
        <w:pStyle w:val="ListParagraph"/>
        <w:numPr>
          <w:ilvl w:val="0"/>
          <w:numId w:val="1"/>
        </w:numPr>
        <w:spacing w:line="240" w:after="100"/>
      </w:pPr>
      <w:r>
        <w:rPr>
          <w:rFonts w:ascii="Arial" w:cs="Arial" w:eastAsia="Arial" w:hAnsi="Arial"/>
          <w:sz w:val="24"/>
          <w:szCs w:val="24"/>
        </w:rPr>
        <w:t xml:space="preserve">Early-stage/licensing: 2-4 months for initial diligence</w:t>
      </w:r>
    </w:p>
    <w:p>
      <w:pPr>
        <w:pStyle w:val="ListParagraph"/>
        <w:numPr>
          <w:ilvl w:val="0"/>
          <w:numId w:val="1"/>
        </w:numPr>
        <w:spacing w:line="240" w:after="100"/>
      </w:pPr>
      <w:r>
        <w:rPr>
          <w:rFonts w:ascii="Arial" w:cs="Arial" w:eastAsia="Arial" w:hAnsi="Arial"/>
          <w:sz w:val="24"/>
          <w:szCs w:val="24"/>
        </w:rPr>
        <w:t xml:space="preserve">M&amp;A transactions: 4-6+ months including full financial, legal, regulatory, operational due diligence</w:t>
      </w:r>
    </w:p>
    <w:p>
      <w:r>
        <w:t xml:space="preserve"/>
      </w:r>
    </w:p>
    <w:p>
      <w:pPr>
        <w:spacing w:after="200" w:before="200"/>
      </w:pPr>
      <w:r>
        <w:rPr>
          <w:rFonts w:ascii="Arial" w:cs="Arial" w:eastAsia="Arial" w:hAnsi="Arial"/>
          <w:b/>
          <w:bCs/>
          <w:sz w:val="28"/>
          <w:szCs w:val="28"/>
        </w:rPr>
        <w:t xml:space="preserve">10. Communication &amp; Negotiation Style</w:t>
      </w:r>
    </w:p>
    <w:p>
      <w:pPr>
        <w:spacing w:line="240" w:after="120"/>
      </w:pPr>
      <w:r>
        <w:rPr>
          <w:rFonts w:ascii="Arial" w:cs="Arial" w:eastAsia="Arial" w:hAnsi="Arial"/>
          <w:sz w:val="24"/>
          <w:szCs w:val="24"/>
        </w:rPr>
        <w:t xml:space="preserve">Kessler's approach is direct but collaborative, rooted in scientific rigor and mutual respect:</w:t>
      </w:r>
    </w:p>
    <w:p>
      <w:pPr>
        <w:spacing w:line="240" w:after="120"/>
      </w:pPr>
      <w:r>
        <w:rPr>
          <w:rFonts w:ascii="Arial" w:cs="Arial" w:eastAsia="Arial" w:hAnsi="Arial"/>
          <w:sz w:val="24"/>
          <w:szCs w:val="24"/>
        </w:rPr>
        <w:t xml:space="preserve">Science-Forward Discussions:</w:t>
      </w:r>
    </w:p>
    <w:p>
      <w:pPr>
        <w:pStyle w:val="ListParagraph"/>
        <w:numPr>
          <w:ilvl w:val="0"/>
          <w:numId w:val="1"/>
        </w:numPr>
        <w:spacing w:line="240" w:after="100"/>
      </w:pPr>
      <w:r>
        <w:rPr>
          <w:rFonts w:ascii="Arial" w:cs="Arial" w:eastAsia="Arial" w:hAnsi="Arial"/>
          <w:sz w:val="24"/>
          <w:szCs w:val="24"/>
        </w:rPr>
        <w:t xml:space="preserve">Leads conversations with mechanistic questions, not financial terms</w:t>
      </w:r>
    </w:p>
    <w:p>
      <w:pPr>
        <w:pStyle w:val="ListParagraph"/>
        <w:numPr>
          <w:ilvl w:val="0"/>
          <w:numId w:val="1"/>
        </w:numPr>
        <w:spacing w:line="240" w:after="100"/>
      </w:pPr>
      <w:r>
        <w:rPr>
          <w:rFonts w:ascii="Arial" w:cs="Arial" w:eastAsia="Arial" w:hAnsi="Arial"/>
          <w:sz w:val="24"/>
          <w:szCs w:val="24"/>
        </w:rPr>
        <w:t xml:space="preserve">Expects partners to be prepared to defend biological assumptions</w:t>
      </w:r>
    </w:p>
    <w:p>
      <w:pPr>
        <w:pStyle w:val="ListParagraph"/>
        <w:numPr>
          <w:ilvl w:val="0"/>
          <w:numId w:val="1"/>
        </w:numPr>
        <w:spacing w:line="240" w:after="100"/>
      </w:pPr>
      <w:r>
        <w:rPr>
          <w:rFonts w:ascii="Arial" w:cs="Arial" w:eastAsia="Arial" w:hAnsi="Arial"/>
          <w:sz w:val="24"/>
          <w:szCs w:val="24"/>
        </w:rPr>
        <w:t xml:space="preserve">Welcomes debate about target validation and modality selection</w:t>
      </w:r>
    </w:p>
    <w:p>
      <w:pPr>
        <w:spacing w:line="240" w:after="120"/>
      </w:pPr>
      <w:r>
        <w:rPr>
          <w:rFonts w:ascii="Arial" w:cs="Arial" w:eastAsia="Arial" w:hAnsi="Arial"/>
          <w:sz w:val="24"/>
          <w:szCs w:val="24"/>
        </w:rPr>
        <w:t xml:space="preserve">Balances Urgency with Discipline:</w:t>
      </w:r>
    </w:p>
    <w:p>
      <w:pPr>
        <w:pStyle w:val="ListParagraph"/>
        <w:numPr>
          <w:ilvl w:val="0"/>
          <w:numId w:val="1"/>
        </w:numPr>
        <w:spacing w:line="240" w:after="100"/>
      </w:pPr>
      <w:r>
        <w:rPr>
          <w:rFonts w:ascii="Arial" w:cs="Arial" w:eastAsia="Arial" w:hAnsi="Arial"/>
          <w:sz w:val="24"/>
          <w:szCs w:val="24"/>
        </w:rPr>
        <w:t xml:space="preserve">Moves quickly on promising opportunities but never appears desperate</w:t>
      </w:r>
    </w:p>
    <w:p>
      <w:pPr>
        <w:pStyle w:val="ListParagraph"/>
        <w:numPr>
          <w:ilvl w:val="0"/>
          <w:numId w:val="1"/>
        </w:numPr>
        <w:spacing w:line="240" w:after="100"/>
      </w:pPr>
      <w:r>
        <w:rPr>
          <w:rFonts w:ascii="Arial" w:cs="Arial" w:eastAsia="Arial" w:hAnsi="Arial"/>
          <w:sz w:val="24"/>
          <w:szCs w:val="24"/>
        </w:rPr>
        <w:t xml:space="preserve">Willing to walk away from deals that don't meet criteria</w:t>
      </w:r>
    </w:p>
    <w:p>
      <w:pPr>
        <w:pStyle w:val="ListParagraph"/>
        <w:numPr>
          <w:ilvl w:val="0"/>
          <w:numId w:val="1"/>
        </w:numPr>
        <w:spacing w:line="240" w:after="100"/>
      </w:pPr>
      <w:r>
        <w:rPr>
          <w:rFonts w:ascii="Arial" w:cs="Arial" w:eastAsia="Arial" w:hAnsi="Arial"/>
          <w:sz w:val="24"/>
          <w:szCs w:val="24"/>
        </w:rPr>
        <w:t xml:space="preserve">Resets expectations when external conditions change (e.g., competitive activity, clinical data)</w:t>
      </w:r>
    </w:p>
    <w:p>
      <w:pPr>
        <w:spacing w:line="240" w:after="120"/>
      </w:pPr>
      <w:r>
        <w:rPr>
          <w:rFonts w:ascii="Arial" w:cs="Arial" w:eastAsia="Arial" w:hAnsi="Arial"/>
          <w:sz w:val="24"/>
          <w:szCs w:val="24"/>
        </w:rPr>
        <w:t xml:space="preserve">Values Long-Term Relationships:</w:t>
      </w:r>
    </w:p>
    <w:p>
      <w:pPr>
        <w:pStyle w:val="ListParagraph"/>
        <w:numPr>
          <w:ilvl w:val="0"/>
          <w:numId w:val="1"/>
        </w:numPr>
        <w:spacing w:line="240" w:after="100"/>
      </w:pPr>
      <w:r>
        <w:rPr>
          <w:rFonts w:ascii="Arial" w:cs="Arial" w:eastAsia="Arial" w:hAnsi="Arial"/>
          <w:sz w:val="24"/>
          <w:szCs w:val="24"/>
        </w:rPr>
        <w:t xml:space="preserve">Treats biotech partners as future collaborators, not one-time transactions</w:t>
      </w:r>
    </w:p>
    <w:p>
      <w:pPr>
        <w:pStyle w:val="ListParagraph"/>
        <w:numPr>
          <w:ilvl w:val="0"/>
          <w:numId w:val="1"/>
        </w:numPr>
        <w:spacing w:line="240" w:after="100"/>
      </w:pPr>
      <w:r>
        <w:rPr>
          <w:rFonts w:ascii="Arial" w:cs="Arial" w:eastAsia="Arial" w:hAnsi="Arial"/>
          <w:sz w:val="24"/>
          <w:szCs w:val="24"/>
        </w:rPr>
        <w:t xml:space="preserve">Remembers and follows up on promising science even if current deal doesn't fit</w:t>
      </w:r>
    </w:p>
    <w:p>
      <w:pPr>
        <w:pStyle w:val="ListParagraph"/>
        <w:numPr>
          <w:ilvl w:val="0"/>
          <w:numId w:val="1"/>
        </w:numPr>
        <w:spacing w:line="240" w:after="100"/>
      </w:pPr>
      <w:r>
        <w:rPr>
          <w:rFonts w:ascii="Arial" w:cs="Arial" w:eastAsia="Arial" w:hAnsi="Arial"/>
          <w:sz w:val="24"/>
          <w:szCs w:val="24"/>
        </w:rPr>
        <w:t xml:space="preserve">Advocates internally for partner company success post-acquisition</w:t>
      </w:r>
    </w:p>
    <w:p>
      <w:pPr>
        <w:spacing w:line="240" w:after="120"/>
      </w:pPr>
      <w:r>
        <w:rPr>
          <w:rFonts w:ascii="Arial" w:cs="Arial" w:eastAsia="Arial" w:hAnsi="Arial"/>
          <w:sz w:val="24"/>
          <w:szCs w:val="24"/>
        </w:rPr>
        <w:t xml:space="preserve">Open to Creative Deal Structures:</w:t>
      </w:r>
    </w:p>
    <w:p>
      <w:pPr>
        <w:pStyle w:val="ListParagraph"/>
        <w:numPr>
          <w:ilvl w:val="0"/>
          <w:numId w:val="1"/>
        </w:numPr>
        <w:spacing w:line="240" w:after="100"/>
      </w:pPr>
      <w:r>
        <w:rPr>
          <w:rFonts w:ascii="Arial" w:cs="Arial" w:eastAsia="Arial" w:hAnsi="Arial"/>
          <w:sz w:val="24"/>
          <w:szCs w:val="24"/>
        </w:rPr>
        <w:t xml:space="preserve">Willing to discuss option rights, territory splits, co-development arrangements</w:t>
      </w:r>
    </w:p>
    <w:p>
      <w:pPr>
        <w:pStyle w:val="ListParagraph"/>
        <w:numPr>
          <w:ilvl w:val="0"/>
          <w:numId w:val="1"/>
        </w:numPr>
        <w:spacing w:line="240" w:after="100"/>
      </w:pPr>
      <w:r>
        <w:rPr>
          <w:rFonts w:ascii="Arial" w:cs="Arial" w:eastAsia="Arial" w:hAnsi="Arial"/>
          <w:sz w:val="24"/>
          <w:szCs w:val="24"/>
        </w:rPr>
        <w:t xml:space="preserve">Understands early-stage founder incentives (equity, autonomy, resource control)</w:t>
      </w:r>
    </w:p>
    <w:p>
      <w:pPr>
        <w:pStyle w:val="ListParagraph"/>
        <w:numPr>
          <w:ilvl w:val="0"/>
          <w:numId w:val="1"/>
        </w:numPr>
        <w:spacing w:line="240" w:after="100"/>
      </w:pPr>
      <w:r>
        <w:rPr>
          <w:rFonts w:ascii="Arial" w:cs="Arial" w:eastAsia="Arial" w:hAnsi="Arial"/>
          <w:sz w:val="24"/>
          <w:szCs w:val="24"/>
        </w:rPr>
        <w:t xml:space="preserve">Flexible on upfront vs. milestone vs. royalty trade-offs</w:t>
      </w:r>
    </w:p>
    <w:p>
      <w:pPr>
        <w:spacing w:line="240" w:after="120"/>
      </w:pPr>
      <w:r>
        <w:rPr>
          <w:rFonts w:ascii="Arial" w:cs="Arial" w:eastAsia="Arial" w:hAnsi="Arial"/>
          <w:sz w:val="24"/>
          <w:szCs w:val="24"/>
        </w:rPr>
        <w:t xml:space="preserve">Respects Partner Autonomy:</w:t>
      </w:r>
    </w:p>
    <w:p>
      <w:pPr>
        <w:pStyle w:val="ListParagraph"/>
        <w:numPr>
          <w:ilvl w:val="0"/>
          <w:numId w:val="1"/>
        </w:numPr>
        <w:spacing w:line="240" w:after="100"/>
      </w:pPr>
      <w:r>
        <w:rPr>
          <w:rFonts w:ascii="Arial" w:cs="Arial" w:eastAsia="Arial" w:hAnsi="Arial"/>
          <w:sz w:val="24"/>
          <w:szCs w:val="24"/>
        </w:rPr>
        <w:t xml:space="preserve">In co-development arrangements, allows partners to lead specific workstreams</w:t>
      </w:r>
    </w:p>
    <w:p>
      <w:pPr>
        <w:pStyle w:val="ListParagraph"/>
        <w:numPr>
          <w:ilvl w:val="0"/>
          <w:numId w:val="1"/>
        </w:numPr>
        <w:spacing w:line="240" w:after="100"/>
      </w:pPr>
      <w:r>
        <w:rPr>
          <w:rFonts w:ascii="Arial" w:cs="Arial" w:eastAsia="Arial" w:hAnsi="Arial"/>
          <w:sz w:val="24"/>
          <w:szCs w:val="24"/>
        </w:rPr>
        <w:t xml:space="preserve">Trusts scientific judgment of acquired teams</w:t>
      </w:r>
    </w:p>
    <w:p>
      <w:pPr>
        <w:spacing w:line="240" w:after="120"/>
      </w:pPr>
      <w:r>
        <w:rPr>
          <w:rFonts w:ascii="Arial" w:cs="Arial" w:eastAsia="Arial" w:hAnsi="Arial"/>
          <w:sz w:val="24"/>
          <w:szCs w:val="24"/>
        </w:rPr>
        <w:t xml:space="preserve">Transparent About Constraints:</w:t>
      </w:r>
    </w:p>
    <w:p>
      <w:pPr>
        <w:pStyle w:val="ListParagraph"/>
        <w:numPr>
          <w:ilvl w:val="0"/>
          <w:numId w:val="1"/>
        </w:numPr>
        <w:spacing w:line="240" w:after="100"/>
      </w:pPr>
      <w:r>
        <w:rPr>
          <w:rFonts w:ascii="Arial" w:cs="Arial" w:eastAsia="Arial" w:hAnsi="Arial"/>
          <w:sz w:val="24"/>
          <w:szCs w:val="24"/>
        </w:rPr>
        <w:t xml:space="preserve">Honest about organizational limitations (restructuring, cost pressures, portfolio constraints)</w:t>
      </w:r>
    </w:p>
    <w:p>
      <w:pPr>
        <w:pStyle w:val="ListParagraph"/>
        <w:numPr>
          <w:ilvl w:val="0"/>
          <w:numId w:val="1"/>
        </w:numPr>
        <w:spacing w:line="240" w:after="100"/>
      </w:pPr>
      <w:r>
        <w:rPr>
          <w:rFonts w:ascii="Arial" w:cs="Arial" w:eastAsia="Arial" w:hAnsi="Arial"/>
          <w:sz w:val="24"/>
          <w:szCs w:val="24"/>
        </w:rPr>
        <w:t xml:space="preserve">Explains internal decision-making timelines and dependencies clearly</w:t>
      </w:r>
    </w:p>
    <w:p>
      <w:r>
        <w:t xml:space="preserve"/>
      </w:r>
    </w:p>
    <w:p>
      <w:pPr>
        <w:spacing w:after="200" w:before="200"/>
      </w:pPr>
      <w:r>
        <w:rPr>
          <w:rFonts w:ascii="Arial" w:cs="Arial" w:eastAsia="Arial" w:hAnsi="Arial"/>
          <w:b/>
          <w:bCs/>
          <w:sz w:val="28"/>
          <w:szCs w:val="28"/>
        </w:rPr>
        <w:t xml:space="preserve">11. Metrics They Track</w:t>
      </w:r>
    </w:p>
    <w:p>
      <w:pPr>
        <w:spacing w:line="240" w:after="120"/>
      </w:pPr>
      <w:r>
        <w:rPr>
          <w:rFonts w:ascii="Arial" w:cs="Arial" w:eastAsia="Arial" w:hAnsi="Arial"/>
          <w:sz w:val="24"/>
          <w:szCs w:val="24"/>
        </w:rPr>
        <w:t xml:space="preserve">Kessler's scorecard for evaluating and managing BD initiatives includes:</w:t>
      </w:r>
    </w:p>
    <w:p>
      <w:pPr>
        <w:spacing w:line="240" w:after="120"/>
      </w:pPr>
      <w:r>
        <w:rPr>
          <w:rFonts w:ascii="Arial" w:cs="Arial" w:eastAsia="Arial" w:hAnsi="Arial"/>
          <w:sz w:val="24"/>
          <w:szCs w:val="24"/>
        </w:rPr>
        <w:t xml:space="preserve">Probability of Milestone Achievement:</w:t>
      </w:r>
    </w:p>
    <w:p>
      <w:pPr>
        <w:pStyle w:val="ListParagraph"/>
        <w:numPr>
          <w:ilvl w:val="0"/>
          <w:numId w:val="1"/>
        </w:numPr>
        <w:spacing w:line="240" w:after="100"/>
      </w:pPr>
      <w:r>
        <w:rPr>
          <w:rFonts w:ascii="Arial" w:cs="Arial" w:eastAsia="Arial" w:hAnsi="Arial"/>
          <w:sz w:val="24"/>
          <w:szCs w:val="24"/>
        </w:rPr>
        <w:t xml:space="preserve">Updated quarterly based on program progress</w:t>
      </w:r>
    </w:p>
    <w:p>
      <w:pPr>
        <w:pStyle w:val="ListParagraph"/>
        <w:numPr>
          <w:ilvl w:val="0"/>
          <w:numId w:val="1"/>
        </w:numPr>
        <w:spacing w:line="240" w:after="100"/>
      </w:pPr>
      <w:r>
        <w:rPr>
          <w:rFonts w:ascii="Arial" w:cs="Arial" w:eastAsia="Arial" w:hAnsi="Arial"/>
          <w:sz w:val="24"/>
          <w:szCs w:val="24"/>
        </w:rPr>
        <w:t xml:space="preserve">Adjusted for stage-appropriate de-risking</w:t>
      </w:r>
    </w:p>
    <w:p>
      <w:pPr>
        <w:spacing w:line="240" w:after="120"/>
      </w:pPr>
      <w:r>
        <w:rPr>
          <w:rFonts w:ascii="Arial" w:cs="Arial" w:eastAsia="Arial" w:hAnsi="Arial"/>
          <w:sz w:val="24"/>
          <w:szCs w:val="24"/>
        </w:rPr>
        <w:t xml:space="preserve">Royalty Sustainability &amp; NPV Analysis:</w:t>
      </w:r>
    </w:p>
    <w:p>
      <w:pPr>
        <w:pStyle w:val="ListParagraph"/>
        <w:numPr>
          <w:ilvl w:val="0"/>
          <w:numId w:val="1"/>
        </w:numPr>
        <w:spacing w:line="240" w:after="100"/>
      </w:pPr>
      <w:r>
        <w:rPr>
          <w:rFonts w:ascii="Arial" w:cs="Arial" w:eastAsia="Arial" w:hAnsi="Arial"/>
          <w:sz w:val="24"/>
          <w:szCs w:val="24"/>
        </w:rPr>
        <w:t xml:space="preserve">Commercial potential assessed at each milestone</w:t>
      </w:r>
    </w:p>
    <w:p>
      <w:pPr>
        <w:pStyle w:val="ListParagraph"/>
        <w:numPr>
          <w:ilvl w:val="0"/>
          <w:numId w:val="1"/>
        </w:numPr>
        <w:spacing w:line="240" w:after="100"/>
      </w:pPr>
      <w:r>
        <w:rPr>
          <w:rFonts w:ascii="Arial" w:cs="Arial" w:eastAsia="Arial" w:hAnsi="Arial"/>
          <w:sz w:val="24"/>
          <w:szCs w:val="24"/>
        </w:rPr>
        <w:t xml:space="preserve">Royalty rates tied to therapeutic area and competition</w:t>
      </w:r>
    </w:p>
    <w:p>
      <w:pPr>
        <w:pStyle w:val="ListParagraph"/>
        <w:numPr>
          <w:ilvl w:val="0"/>
          <w:numId w:val="1"/>
        </w:numPr>
        <w:spacing w:line="240" w:after="100"/>
      </w:pPr>
      <w:r>
        <w:rPr>
          <w:rFonts w:ascii="Arial" w:cs="Arial" w:eastAsia="Arial" w:hAnsi="Arial"/>
          <w:sz w:val="24"/>
          <w:szCs w:val="24"/>
        </w:rPr>
        <w:t xml:space="preserve">Net present value calculated with risk-adjusted discount rates</w:t>
      </w:r>
    </w:p>
    <w:p>
      <w:pPr>
        <w:spacing w:line="240" w:after="120"/>
      </w:pPr>
      <w:r>
        <w:rPr>
          <w:rFonts w:ascii="Arial" w:cs="Arial" w:eastAsia="Arial" w:hAnsi="Arial"/>
          <w:sz w:val="24"/>
          <w:szCs w:val="24"/>
        </w:rPr>
        <w:t xml:space="preserve">Development Cost Estimation:</w:t>
      </w:r>
    </w:p>
    <w:p>
      <w:pPr>
        <w:pStyle w:val="ListParagraph"/>
        <w:numPr>
          <w:ilvl w:val="0"/>
          <w:numId w:val="1"/>
        </w:numPr>
        <w:spacing w:line="240" w:after="100"/>
      </w:pPr>
      <w:r>
        <w:rPr>
          <w:rFonts w:ascii="Arial" w:cs="Arial" w:eastAsia="Arial" w:hAnsi="Arial"/>
          <w:sz w:val="24"/>
          <w:szCs w:val="24"/>
        </w:rPr>
        <w:t xml:space="preserve">Internal benchmarking of Phase 2, Phase 3, and commercialization costs</w:t>
      </w:r>
    </w:p>
    <w:p>
      <w:pPr>
        <w:pStyle w:val="ListParagraph"/>
        <w:numPr>
          <w:ilvl w:val="0"/>
          <w:numId w:val="1"/>
        </w:numPr>
        <w:spacing w:line="240" w:after="100"/>
      </w:pPr>
      <w:r>
        <w:rPr>
          <w:rFonts w:ascii="Arial" w:cs="Arial" w:eastAsia="Arial" w:hAnsi="Arial"/>
          <w:sz w:val="24"/>
          <w:szCs w:val="24"/>
        </w:rPr>
        <w:t xml:space="preserve">Comparison of partner estimates vs. Biogen historical data</w:t>
      </w:r>
    </w:p>
    <w:p>
      <w:pPr>
        <w:spacing w:line="240" w:after="120"/>
      </w:pPr>
      <w:r>
        <w:rPr>
          <w:rFonts w:ascii="Arial" w:cs="Arial" w:eastAsia="Arial" w:hAnsi="Arial"/>
          <w:sz w:val="24"/>
          <w:szCs w:val="24"/>
        </w:rPr>
        <w:t xml:space="preserve">Commercial Potential:</w:t>
      </w:r>
    </w:p>
    <w:p>
      <w:pPr>
        <w:pStyle w:val="ListParagraph"/>
        <w:numPr>
          <w:ilvl w:val="0"/>
          <w:numId w:val="1"/>
        </w:numPr>
        <w:spacing w:line="240" w:after="100"/>
      </w:pPr>
      <w:r>
        <w:rPr>
          <w:rFonts w:ascii="Arial" w:cs="Arial" w:eastAsia="Arial" w:hAnsi="Arial"/>
          <w:sz w:val="24"/>
          <w:szCs w:val="24"/>
        </w:rPr>
        <w:t xml:space="preserve">Peak sales forecasts by indication and geography</w:t>
      </w:r>
    </w:p>
    <w:p>
      <w:pPr>
        <w:pStyle w:val="ListParagraph"/>
        <w:numPr>
          <w:ilvl w:val="0"/>
          <w:numId w:val="1"/>
        </w:numPr>
        <w:spacing w:line="240" w:after="100"/>
      </w:pPr>
      <w:r>
        <w:rPr>
          <w:rFonts w:ascii="Arial" w:cs="Arial" w:eastAsia="Arial" w:hAnsi="Arial"/>
          <w:sz w:val="24"/>
          <w:szCs w:val="24"/>
        </w:rPr>
        <w:t xml:space="preserve">Market share assumptions based on competitive landscape</w:t>
      </w:r>
    </w:p>
    <w:p>
      <w:pPr>
        <w:spacing w:line="240" w:after="120"/>
      </w:pPr>
      <w:r>
        <w:rPr>
          <w:rFonts w:ascii="Arial" w:cs="Arial" w:eastAsia="Arial" w:hAnsi="Arial"/>
          <w:sz w:val="24"/>
          <w:szCs w:val="24"/>
        </w:rPr>
        <w:t xml:space="preserve">Time to Market &amp; Revenue Ramp:</w:t>
      </w:r>
    </w:p>
    <w:p>
      <w:pPr>
        <w:pStyle w:val="ListParagraph"/>
        <w:numPr>
          <w:ilvl w:val="0"/>
          <w:numId w:val="1"/>
        </w:numPr>
        <w:spacing w:line="240" w:after="100"/>
      </w:pPr>
      <w:r>
        <w:rPr>
          <w:rFonts w:ascii="Arial" w:cs="Arial" w:eastAsia="Arial" w:hAnsi="Arial"/>
          <w:sz w:val="24"/>
          <w:szCs w:val="24"/>
        </w:rPr>
        <w:t xml:space="preserve">Years to regulatory approval and launch</w:t>
      </w:r>
    </w:p>
    <w:p>
      <w:pPr>
        <w:pStyle w:val="ListParagraph"/>
        <w:numPr>
          <w:ilvl w:val="0"/>
          <w:numId w:val="1"/>
        </w:numPr>
        <w:spacing w:line="240" w:after="100"/>
      </w:pPr>
      <w:r>
        <w:rPr>
          <w:rFonts w:ascii="Arial" w:cs="Arial" w:eastAsia="Arial" w:hAnsi="Arial"/>
          <w:sz w:val="24"/>
          <w:szCs w:val="24"/>
        </w:rPr>
        <w:t xml:space="preserve">Ramp assumptions based on indication penetration and payer landscape</w:t>
      </w:r>
    </w:p>
    <w:p>
      <w:pPr>
        <w:spacing w:line="240" w:after="120"/>
      </w:pPr>
      <w:r>
        <w:rPr>
          <w:rFonts w:ascii="Arial" w:cs="Arial" w:eastAsia="Arial" w:hAnsi="Arial"/>
          <w:sz w:val="24"/>
          <w:szCs w:val="24"/>
        </w:rPr>
        <w:t xml:space="preserve">Shareholder Value Creation Timeline:</w:t>
      </w:r>
    </w:p>
    <w:p>
      <w:pPr>
        <w:pStyle w:val="ListParagraph"/>
        <w:numPr>
          <w:ilvl w:val="0"/>
          <w:numId w:val="1"/>
        </w:numPr>
        <w:spacing w:line="240" w:after="100"/>
      </w:pPr>
      <w:r>
        <w:rPr>
          <w:rFonts w:ascii="Arial" w:cs="Arial" w:eastAsia="Arial" w:hAnsi="Arial"/>
          <w:sz w:val="24"/>
          <w:szCs w:val="24"/>
        </w:rPr>
        <w:t xml:space="preserve">When does the partnership contribute to EPS growth?</w:t>
      </w:r>
    </w:p>
    <w:p>
      <w:pPr>
        <w:pStyle w:val="ListParagraph"/>
        <w:numPr>
          <w:ilvl w:val="0"/>
          <w:numId w:val="1"/>
        </w:numPr>
        <w:spacing w:line="240" w:after="100"/>
      </w:pPr>
      <w:r>
        <w:rPr>
          <w:rFonts w:ascii="Arial" w:cs="Arial" w:eastAsia="Arial" w:hAnsi="Arial"/>
          <w:sz w:val="24"/>
          <w:szCs w:val="24"/>
        </w:rPr>
        <w:t xml:space="preserve">Is the return profile aligned with Biogen's cost of capital?</w:t>
      </w:r>
    </w:p>
    <w:p>
      <w:pPr>
        <w:spacing w:line="240" w:after="120"/>
      </w:pPr>
      <w:r>
        <w:rPr>
          <w:rFonts w:ascii="Arial" w:cs="Arial" w:eastAsia="Arial" w:hAnsi="Arial"/>
          <w:sz w:val="24"/>
          <w:szCs w:val="24"/>
        </w:rPr>
        <w:t xml:space="preserve">Modality Toolkit Expansion:</w:t>
      </w:r>
    </w:p>
    <w:p>
      <w:pPr>
        <w:pStyle w:val="ListParagraph"/>
        <w:numPr>
          <w:ilvl w:val="0"/>
          <w:numId w:val="1"/>
        </w:numPr>
        <w:spacing w:line="240" w:after="100"/>
      </w:pPr>
      <w:r>
        <w:rPr>
          <w:rFonts w:ascii="Arial" w:cs="Arial" w:eastAsia="Arial" w:hAnsi="Arial"/>
          <w:sz w:val="24"/>
          <w:szCs w:val="24"/>
        </w:rPr>
        <w:t xml:space="preserve">Tracking breadth of modalities in active portfolio (ASO, AAV, RNAi, molecular glue, small molecule, biologics)</w:t>
      </w:r>
    </w:p>
    <w:p>
      <w:pPr>
        <w:spacing w:line="240" w:after="120"/>
      </w:pPr>
      <w:r>
        <w:rPr>
          <w:rFonts w:ascii="Arial" w:cs="Arial" w:eastAsia="Arial" w:hAnsi="Arial"/>
          <w:sz w:val="24"/>
          <w:szCs w:val="24"/>
        </w:rPr>
        <w:t xml:space="preserve">Portfolio Diversification:</w:t>
      </w:r>
    </w:p>
    <w:p>
      <w:pPr>
        <w:pStyle w:val="ListParagraph"/>
        <w:numPr>
          <w:ilvl w:val="0"/>
          <w:numId w:val="1"/>
        </w:numPr>
        <w:spacing w:line="240" w:after="100"/>
      </w:pPr>
      <w:r>
        <w:rPr>
          <w:rFonts w:ascii="Arial" w:cs="Arial" w:eastAsia="Arial" w:hAnsi="Arial"/>
          <w:sz w:val="24"/>
          <w:szCs w:val="24"/>
        </w:rPr>
        <w:t xml:space="preserve">Geographic diversification (US, EU, Japan, emerging markets)</w:t>
      </w:r>
    </w:p>
    <w:p>
      <w:pPr>
        <w:pStyle w:val="ListParagraph"/>
        <w:numPr>
          <w:ilvl w:val="0"/>
          <w:numId w:val="1"/>
        </w:numPr>
        <w:spacing w:line="240" w:after="100"/>
      </w:pPr>
      <w:r>
        <w:rPr>
          <w:rFonts w:ascii="Arial" w:cs="Arial" w:eastAsia="Arial" w:hAnsi="Arial"/>
          <w:sz w:val="24"/>
          <w:szCs w:val="24"/>
        </w:rPr>
        <w:t xml:space="preserve">Indication diversification (Alzheimer's, Parkinson's, rare neuro, neuroinflammation)</w:t>
      </w:r>
    </w:p>
    <w:p>
      <w:r>
        <w:t xml:space="preserve"/>
      </w:r>
    </w:p>
    <w:p>
      <w:pPr>
        <w:spacing w:after="200" w:before="200"/>
      </w:pPr>
      <w:r>
        <w:rPr>
          <w:rFonts w:ascii="Arial" w:cs="Arial" w:eastAsia="Arial" w:hAnsi="Arial"/>
          <w:b/>
          <w:bCs/>
          <w:sz w:val="28"/>
          <w:szCs w:val="28"/>
        </w:rPr>
        <w:t xml:space="preserve">12. Long-Term BD Vision</w:t>
      </w:r>
    </w:p>
    <w:p>
      <w:pPr>
        <w:spacing w:line="240" w:after="120"/>
      </w:pPr>
      <w:r>
        <w:rPr>
          <w:rFonts w:ascii="Arial" w:cs="Arial" w:eastAsia="Arial" w:hAnsi="Arial"/>
          <w:sz w:val="24"/>
          <w:szCs w:val="24"/>
        </w:rPr>
        <w:t xml:space="preserve">Kessler's overarching strategic vision for Biogen centers on transformation through open innovation:</w:t>
      </w:r>
    </w:p>
    <w:p>
      <w:pPr>
        <w:spacing w:line="240" w:after="120"/>
      </w:pPr>
      <w:r>
        <w:rPr>
          <w:rFonts w:ascii="Arial" w:cs="Arial" w:eastAsia="Arial" w:hAnsi="Arial"/>
          <w:sz w:val="24"/>
          <w:szCs w:val="24"/>
        </w:rPr>
        <w:t xml:space="preserve">Transform Biogen into Diversified Neuroscience Leader:</w:t>
      </w:r>
    </w:p>
    <w:p>
      <w:pPr>
        <w:pStyle w:val="ListParagraph"/>
        <w:numPr>
          <w:ilvl w:val="0"/>
          <w:numId w:val="1"/>
        </w:numPr>
        <w:spacing w:line="240" w:after="100"/>
      </w:pPr>
      <w:r>
        <w:rPr>
          <w:rFonts w:ascii="Arial" w:cs="Arial" w:eastAsia="Arial" w:hAnsi="Arial"/>
          <w:sz w:val="24"/>
          <w:szCs w:val="24"/>
        </w:rPr>
        <w:t xml:space="preserve">Move beyond legacy portfolio dependency (Tecfidera, Vumerity, Spinraza)</w:t>
      </w:r>
    </w:p>
    <w:p>
      <w:pPr>
        <w:pStyle w:val="ListParagraph"/>
        <w:numPr>
          <w:ilvl w:val="0"/>
          <w:numId w:val="1"/>
        </w:numPr>
        <w:spacing w:line="240" w:after="100"/>
      </w:pPr>
      <w:r>
        <w:rPr>
          <w:rFonts w:ascii="Arial" w:cs="Arial" w:eastAsia="Arial" w:hAnsi="Arial"/>
          <w:sz w:val="24"/>
          <w:szCs w:val="24"/>
        </w:rPr>
        <w:t xml:space="preserve">Build balanced portfolio across Alzheimer's, Parkinson's, rare neuro, neuroinflammation</w:t>
      </w:r>
    </w:p>
    <w:p>
      <w:pPr>
        <w:spacing w:line="240" w:after="120"/>
      </w:pPr>
      <w:r>
        <w:rPr>
          <w:rFonts w:ascii="Arial" w:cs="Arial" w:eastAsia="Arial" w:hAnsi="Arial"/>
          <w:sz w:val="24"/>
          <w:szCs w:val="24"/>
        </w:rPr>
        <w:t xml:space="preserve">Multi-Modality R&amp;D Toolkit:</w:t>
      </w:r>
    </w:p>
    <w:p>
      <w:pPr>
        <w:pStyle w:val="ListParagraph"/>
        <w:numPr>
          <w:ilvl w:val="0"/>
          <w:numId w:val="1"/>
        </w:numPr>
        <w:spacing w:line="240" w:after="100"/>
      </w:pPr>
      <w:r>
        <w:rPr>
          <w:rFonts w:ascii="Arial" w:cs="Arial" w:eastAsia="Arial" w:hAnsi="Arial"/>
          <w:sz w:val="24"/>
          <w:szCs w:val="24"/>
        </w:rPr>
        <w:t xml:space="preserve">Establish internal and partnered capabilities across ASOs, AAV, RNAi, molecular glue, optimized small molecules</w:t>
      </w:r>
    </w:p>
    <w:p>
      <w:pPr>
        <w:pStyle w:val="ListParagraph"/>
        <w:numPr>
          <w:ilvl w:val="0"/>
          <w:numId w:val="1"/>
        </w:numPr>
        <w:spacing w:line="240" w:after="100"/>
      </w:pPr>
      <w:r>
        <w:rPr>
          <w:rFonts w:ascii="Arial" w:cs="Arial" w:eastAsia="Arial" w:hAnsi="Arial"/>
          <w:sz w:val="24"/>
          <w:szCs w:val="24"/>
        </w:rPr>
        <w:t xml:space="preserve">Position Biogen as modality-agnostic, biology-first company</w:t>
      </w:r>
    </w:p>
    <w:p>
      <w:pPr>
        <w:spacing w:line="240" w:after="120"/>
      </w:pPr>
      <w:r>
        <w:rPr>
          <w:rFonts w:ascii="Arial" w:cs="Arial" w:eastAsia="Arial" w:hAnsi="Arial"/>
          <w:sz w:val="24"/>
          <w:szCs w:val="24"/>
        </w:rPr>
        <w:t xml:space="preserve">Revenue Growth Through Strategic BD:</w:t>
      </w:r>
    </w:p>
    <w:p>
      <w:pPr>
        <w:pStyle w:val="ListParagraph"/>
        <w:numPr>
          <w:ilvl w:val="0"/>
          <w:numId w:val="1"/>
        </w:numPr>
        <w:spacing w:line="240" w:after="100"/>
      </w:pPr>
      <w:r>
        <w:rPr>
          <w:rFonts w:ascii="Arial" w:cs="Arial" w:eastAsia="Arial" w:hAnsi="Arial"/>
          <w:sz w:val="24"/>
          <w:szCs w:val="24"/>
        </w:rPr>
        <w:t xml:space="preserve">Near-term (2-3 years): Realize clinical milestones and early commercial traction from recent acquisitions (Reata, HI-Bio, Capsigen)</w:t>
      </w:r>
    </w:p>
    <w:p>
      <w:pPr>
        <w:pStyle w:val="ListParagraph"/>
        <w:numPr>
          <w:ilvl w:val="0"/>
          <w:numId w:val="1"/>
        </w:numPr>
        <w:spacing w:line="240" w:after="100"/>
      </w:pPr>
      <w:r>
        <w:rPr>
          <w:rFonts w:ascii="Arial" w:cs="Arial" w:eastAsia="Arial" w:hAnsi="Arial"/>
          <w:sz w:val="24"/>
          <w:szCs w:val="24"/>
        </w:rPr>
        <w:t xml:space="preserve">Mid-term (3-7 years): Launch new modality-driven candidates, expand into adjacent neuroscience indications</w:t>
      </w:r>
    </w:p>
    <w:p>
      <w:pPr>
        <w:pStyle w:val="ListParagraph"/>
        <w:numPr>
          <w:ilvl w:val="0"/>
          <w:numId w:val="1"/>
        </w:numPr>
        <w:spacing w:line="240" w:after="100"/>
      </w:pPr>
      <w:r>
        <w:rPr>
          <w:rFonts w:ascii="Arial" w:cs="Arial" w:eastAsia="Arial" w:hAnsi="Arial"/>
          <w:sz w:val="24"/>
          <w:szCs w:val="24"/>
        </w:rPr>
        <w:t xml:space="preserve">Long-term (7+ years): Establish Biogen as premier neuroscience-focused pharmaceutical company with diversified product portfolio</w:t>
      </w:r>
    </w:p>
    <w:p>
      <w:pPr>
        <w:spacing w:line="240" w:after="120"/>
      </w:pPr>
      <w:r>
        <w:rPr>
          <w:rFonts w:ascii="Arial" w:cs="Arial" w:eastAsia="Arial" w:hAnsi="Arial"/>
          <w:sz w:val="24"/>
          <w:szCs w:val="24"/>
        </w:rPr>
        <w:t xml:space="preserve">Fill Critical Pipeline Gaps:</w:t>
      </w:r>
    </w:p>
    <w:p>
      <w:pPr>
        <w:pStyle w:val="ListParagraph"/>
        <w:numPr>
          <w:ilvl w:val="0"/>
          <w:numId w:val="1"/>
        </w:numPr>
        <w:spacing w:line="240" w:after="100"/>
      </w:pPr>
      <w:r>
        <w:rPr>
          <w:rFonts w:ascii="Arial" w:cs="Arial" w:eastAsia="Arial" w:hAnsi="Arial"/>
          <w:sz w:val="24"/>
          <w:szCs w:val="24"/>
        </w:rPr>
        <w:t xml:space="preserve">Alzheimer's: Continue to expand tau-targeting and non-amyloid approaches</w:t>
      </w:r>
    </w:p>
    <w:p>
      <w:pPr>
        <w:pStyle w:val="ListParagraph"/>
        <w:numPr>
          <w:ilvl w:val="0"/>
          <w:numId w:val="1"/>
        </w:numPr>
        <w:spacing w:line="240" w:after="100"/>
      </w:pPr>
      <w:r>
        <w:rPr>
          <w:rFonts w:ascii="Arial" w:cs="Arial" w:eastAsia="Arial" w:hAnsi="Arial"/>
          <w:sz w:val="24"/>
          <w:szCs w:val="24"/>
        </w:rPr>
        <w:t xml:space="preserve">Parkinson's: Build platform beyond dopamine to address genetic forms, neuroinflammation</w:t>
      </w:r>
    </w:p>
    <w:p>
      <w:pPr>
        <w:pStyle w:val="ListParagraph"/>
        <w:numPr>
          <w:ilvl w:val="0"/>
          <w:numId w:val="1"/>
        </w:numPr>
        <w:spacing w:line="240" w:after="100"/>
      </w:pPr>
      <w:r>
        <w:rPr>
          <w:rFonts w:ascii="Arial" w:cs="Arial" w:eastAsia="Arial" w:hAnsi="Arial"/>
          <w:sz w:val="24"/>
          <w:szCs w:val="24"/>
        </w:rPr>
        <w:t xml:space="preserve">Rare Neurological Diseases: Establish leadership position in high-unmet-need rare neurology</w:t>
      </w:r>
    </w:p>
    <w:p>
      <w:pPr>
        <w:spacing w:line="240" w:after="120"/>
      </w:pPr>
      <w:r>
        <w:rPr>
          <w:rFonts w:ascii="Arial" w:cs="Arial" w:eastAsia="Arial" w:hAnsi="Arial"/>
          <w:sz w:val="24"/>
          <w:szCs w:val="24"/>
        </w:rPr>
        <w:t xml:space="preserve">Establish Biogen as Preferred Partner:</w:t>
      </w:r>
    </w:p>
    <w:p>
      <w:pPr>
        <w:pStyle w:val="ListParagraph"/>
        <w:numPr>
          <w:ilvl w:val="0"/>
          <w:numId w:val="1"/>
        </w:numPr>
        <w:spacing w:line="240" w:after="100"/>
      </w:pPr>
      <w:r>
        <w:rPr>
          <w:rFonts w:ascii="Arial" w:cs="Arial" w:eastAsia="Arial" w:hAnsi="Arial"/>
          <w:sz w:val="24"/>
          <w:szCs w:val="24"/>
        </w:rPr>
        <w:t xml:space="preserve">Biotech innovators view Biogen as collaborative, science-driven, resourceful partner</w:t>
      </w:r>
    </w:p>
    <w:p>
      <w:pPr>
        <w:pStyle w:val="ListParagraph"/>
        <w:numPr>
          <w:ilvl w:val="0"/>
          <w:numId w:val="1"/>
        </w:numPr>
        <w:spacing w:line="240" w:after="100"/>
      </w:pPr>
      <w:r>
        <w:rPr>
          <w:rFonts w:ascii="Arial" w:cs="Arial" w:eastAsia="Arial" w:hAnsi="Arial"/>
          <w:sz w:val="24"/>
          <w:szCs w:val="24"/>
        </w:rPr>
        <w:t xml:space="preserve">Integration support and milestone achievement success rate exceed industry benchmarks</w:t>
      </w:r>
    </w:p>
    <w:p>
      <w:pPr>
        <w:pStyle w:val="ListParagraph"/>
        <w:numPr>
          <w:ilvl w:val="0"/>
          <w:numId w:val="1"/>
        </w:numPr>
        <w:spacing w:line="240" w:after="100"/>
      </w:pPr>
      <w:r>
        <w:rPr>
          <w:rFonts w:ascii="Arial" w:cs="Arial" w:eastAsia="Arial" w:hAnsi="Arial"/>
          <w:sz w:val="24"/>
          <w:szCs w:val="24"/>
        </w:rPr>
        <w:t xml:space="preserve">Reputation for fair dealing and executive engagement attracts best opportunities</w:t>
      </w:r>
    </w:p>
    <w:p>
      <w:r>
        <w:t xml:space="preserve"/>
      </w:r>
    </w:p>
    <w:p>
      <w:r>
        <w:t xml:space="preserve"/>
      </w:r>
    </w:p>
    <w:p>
      <w:pPr>
        <w:spacing w:before="200"/>
        <w:jc w:val="center"/>
      </w:pPr>
      <w:r>
        <w:rPr>
          <w:rFonts w:ascii="Arial" w:cs="Arial" w:eastAsia="Arial" w:hAnsi="Arial"/>
          <w:i/>
          <w:iCs/>
          <w:sz w:val="20"/>
          <w:szCs w:val="20"/>
        </w:rPr>
        <w:t xml:space="preserve">End of Persona Profile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2026-02-18T13:37:22.709Z</dcterms:created>
  <dcterms:modified xsi:type="dcterms:W3CDTF">2026-02-18T13:37:22.710Z</dcterms:modified>
</cp:coreProperties>
</file>

<file path=docProps/custom.xml><?xml version="1.0" encoding="utf-8"?>
<Properties xmlns="http://schemas.openxmlformats.org/officeDocument/2006/custom-properties" xmlns:vt="http://schemas.openxmlformats.org/officeDocument/2006/docPropsVTypes"/>
</file>