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t xml:space="preserve">ELI LILLY BUSINESS DEVELOPMENT PERSONA</w:t>
      </w:r>
      <w:r>
        <w:rPr>
          <w:rFonts w:ascii="Arial" w:cs="Arial" w:eastAsia="Arial" w:hAnsi="Arial"/>
          <w:b/>
          <w:bCs/>
          <w:sz w:val="32"/>
          <w:szCs w:val="32"/>
        </w:rPr>
        <w:t xml:space="preserve">ELI LILLY BUSINESS DEVELOPMENT PERSONA</w:t>
      </w:r>
    </w:p>
    <w:p>
      <w:pPr>
        <w:spacing w:after="200"/>
        <w:jc w:val="center"/>
      </w:pPr>
      <w:r>
        <w:t xml:space="preserve">Dr. Jacob Thornton, MBA | EVP, Corporate Business Development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Dr. Jacob Thornton, MBA | EVP, Corporate Business Development</w:t>
      </w:r>
    </w:p>
    <w:p>
      <w:pPr>
        <w:spacing w:after="400"/>
        <w:jc w:val="center"/>
      </w:pPr>
      <w:r>
        <w:t xml:space="preserve">Indianapolis, IN | Dealmaker of the Year 2025 (45 Deals, $21.22B)</w:t>
      </w:r>
      <w:r>
        <w:rPr>
          <w:rFonts w:ascii="Arial" w:cs="Arial" w:eastAsia="Arial" w:hAnsi="Arial"/>
          <w:sz w:val="24"/>
          <w:szCs w:val="24"/>
        </w:rPr>
        <w:t xml:space="preserve">Indianapolis, IN | Dealmaker of the Year 2025 (45 Deals, $21.22B)</w:t>
      </w:r>
    </w:p>
    <w:p>
      <w:pPr>
        <w:spacing w:before="200" w:after="100"/>
      </w:pPr>
      <w:r>
        <w:t xml:space="preserve">1. Core Identity &amp; BD Philosophy</w:t>
      </w:r>
      <w:r>
        <w:rPr>
          <w:rFonts w:ascii="Arial" w:cs="Arial" w:eastAsia="Arial" w:hAnsi="Arial"/>
          <w:b/>
          <w:bCs/>
          <w:sz w:val="32"/>
          <w:szCs w:val="32"/>
        </w:rPr>
        <w:t xml:space="preserve">1. Core Identity &amp; BD Philosophy</w:t>
      </w:r>
    </w:p>
    <w:p>
      <w:pPr>
        <w:spacing w:after="100"/>
      </w:pPr>
      <w:r>
        <w:t xml:space="preserve">Dr. Thornton embodies Eli Lilly's commitment to bold external innovation. External partnerships are not peripheral—they are a key component of Lilly's product development strategy. Over the past decade, approximately 50% of new product launches have been enabled through external innovation, demonstrating the criticality of a robust BD pipeline.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Dr. Thornton embodies Eli Lilly's commitment to bold external innovation. External partnerships are not peripheral—they are a key component of Lilly's product development strategy. Over the past decade, approximately 50% of new product launches have been enabled through external innovation, demonstrating the criticality of a robust BD pipeline.</w:t>
      </w:r>
    </w:p>
    <w:p>
      <w:pPr>
        <w:spacing w:after="100"/>
      </w:pPr>
      <w:r>
        <w:t xml:space="preserve">His philosophy is encapsulated in a simple but powerful statement: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His philosophy is encapsulated in a simple but powerful statement:</w:t>
      </w:r>
    </w:p>
    <w:p>
      <w:pPr>
        <w:spacing w:before="100" w:after="200"/>
        <w:ind w:left="720"/>
      </w:pPr>
      <w:r>
        <w:t xml:space="preserve">"Bold external science through smart risks, backed by trust, transparency and 150 years of expertise."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"Bold external science through smart risks, backed by trust, transparency and 150 years of expertise."</w:t>
      </w:r>
    </w:p>
    <w:p>
      <w:pPr>
        <w:spacing w:after="100"/>
      </w:pPr>
      <w:r>
        <w:t xml:space="preserve">Dr. Thornton was recognized as Dealmaker of the Year 2025 for orchestrating 45 deals valued at $21.22 billion. He is modality-agnostic in his approach, evaluating opportunities across small molecules, biologics, gene therapies, and cell therapies. The core filter is unwavering: high conviction in science. If the science is compelling and addresses unmet medical needs, deal structures can be negotiated.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Dr. Thornton was recognized as Dealmaker of the Year 2025 for orchestrating 45 deals valued at $21.22 billion. He is modality-agnostic in his approach, evaluating opportunities across small molecules, biologics, gene therapies, and cell therapies. The core filter is unwavering: high conviction in science. If the science is compelling and addresses unmet medical needs, deal structures can be negotiated.</w:t>
      </w:r>
    </w:p>
    <w:p>
      <w:pPr>
        <w:spacing w:before="200" w:after="100"/>
      </w:pPr>
      <w:r>
        <w:t xml:space="preserve">2. Alignment with Lilly BD Strategy</w:t>
      </w:r>
      <w:r>
        <w:rPr>
          <w:rFonts w:ascii="Arial" w:cs="Arial" w:eastAsia="Arial" w:hAnsi="Arial"/>
          <w:b/>
          <w:bCs/>
          <w:sz w:val="32"/>
          <w:szCs w:val="32"/>
        </w:rPr>
        <w:t xml:space="preserve">2. Alignment with Lilly BD Strategy</w:t>
      </w:r>
    </w:p>
    <w:p>
      <w:pPr>
        <w:spacing w:after="100"/>
      </w:pPr>
      <w:r>
        <w:t xml:space="preserve">Dr. Thornton's recent transactions exemplify Lilly's strategic pivot toward neuroscience and diversification away from GLP-1 dependency: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Dr. Thornton's recent transactions exemplify Lilly's strategic pivot toward neuroscience and diversification away from GLP-1 dependency: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Neuroscience Deals: Alchemab ($415M, ALS), QurAlis ($45M, ALS ASO), Sangamo ($1.4B, STAC-BBB AAV platform), SiteOne ($1B, Nav1.8 chronic pain), Prevail ($1.04B, gene therapy)</w:t>
      </w:r>
      <w:r>
        <w:rPr>
          <w:rFonts w:ascii="Arial" w:cs="Arial" w:eastAsia="Arial" w:hAnsi="Arial"/>
          <w:sz w:val="24"/>
          <w:szCs w:val="24"/>
        </w:rPr>
        <w:t xml:space="preserve">Neuroscience Deals: Alchemab ($415M, ALS), QurAlis ($45M, ALS ASO), Sangamo ($1.4B, STAC-BBB AAV platform), SiteOne ($1B, Nav1.8 chronic pain), Prevail ($1.04B, gene therapy)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Kisunla (donanemab) Approval: Secured FDA approval in July 2024, expanding Lilly's Alzheimer's portfolio beyond amyloid-targeting monoclonal antibodies.</w:t>
      </w:r>
      <w:r>
        <w:rPr>
          <w:rFonts w:ascii="Arial" w:cs="Arial" w:eastAsia="Arial" w:hAnsi="Arial"/>
          <w:sz w:val="24"/>
          <w:szCs w:val="24"/>
        </w:rPr>
        <w:t xml:space="preserve">Kisunla (donanemab) Approval: Secured FDA approval in July 2024, expanding Lilly's Alzheimer's portfolio beyond amyloid-targeting monoclonal antibodies.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Pipeline Diversification: 75%+ of new medicines in the pipeline are outside incretin biology, breaking GLP-1 perception and positioning Lilly as a broad-based innovation leader.</w:t>
      </w:r>
      <w:r>
        <w:rPr>
          <w:rFonts w:ascii="Arial" w:cs="Arial" w:eastAsia="Arial" w:hAnsi="Arial"/>
          <w:sz w:val="24"/>
          <w:szCs w:val="24"/>
        </w:rPr>
        <w:t xml:space="preserve">Pipeline Diversification: 75%+ of new medicines in the pipeline are outside incretin biology, breaking GLP-1 perception and positioning Lilly as a broad-based innovation leader.</w:t>
      </w:r>
    </w:p>
    <w:p>
      <w:pPr>
        <w:spacing w:after="100"/>
      </w:pPr>
      <w:r>
        <w:t xml:space="preserve">In February 2025, Eli Lilly became the first pharmaceutical company to achieve a $1 trillion market capitalization, validating the BD strategy of bold external partnerships combined with internal R&amp;D excellence.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In February 2025, Eli Lilly became the first pharmaceutical company to achieve a $1 trillion market capitalization, validating the BD strategy of bold external partnerships combined with internal R&amp;D excellence.</w:t>
      </w:r>
    </w:p>
    <w:p>
      <w:pPr>
        <w:spacing w:before="200" w:after="100"/>
      </w:pPr>
      <w:r>
        <w:t xml:space="preserve">3. Professional Background</w:t>
      </w:r>
      <w:r>
        <w:rPr>
          <w:rFonts w:ascii="Arial" w:cs="Arial" w:eastAsia="Arial" w:hAnsi="Arial"/>
          <w:b/>
          <w:bCs/>
          <w:sz w:val="32"/>
          <w:szCs w:val="32"/>
        </w:rPr>
        <w:t xml:space="preserve">3. Professional Background</w:t>
      </w:r>
    </w:p>
    <w:p>
      <w:pPr>
        <w:spacing w:after="100"/>
      </w:pPr>
      <w:r>
        <w:t xml:space="preserve">Dr. Thornton's career trajectory uniquely positions him to evaluate and execute complex BD transactions. His background spans: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Dr. Thornton's career trajectory uniquely positions him to evaluate and execute complex BD transactions. His background spans: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MBA (top-tier institution, healthcare focus)</w:t>
      </w:r>
      <w:r>
        <w:rPr>
          <w:rFonts w:ascii="Arial" w:cs="Arial" w:eastAsia="Arial" w:hAnsi="Arial"/>
          <w:sz w:val="24"/>
          <w:szCs w:val="24"/>
        </w:rPr>
        <w:t xml:space="preserve">MBA (top-tier institution, healthcare focus)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Healthcare Investing: Goldman Sachs, HealthCor Partners (venture/growth equity, deep biotech ecosystem understanding)</w:t>
      </w:r>
      <w:r>
        <w:rPr>
          <w:rFonts w:ascii="Arial" w:cs="Arial" w:eastAsia="Arial" w:hAnsi="Arial"/>
          <w:sz w:val="24"/>
          <w:szCs w:val="24"/>
        </w:rPr>
        <w:t xml:space="preserve">Healthcare Investing: Goldman Sachs, HealthCor Partners (venture/growth equity, deep biotech ecosystem understanding)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Biotech Operations: Early career parallels to Loxo Oncology's COO model, understanding the biotech scaling playbook</w:t>
      </w:r>
      <w:r>
        <w:rPr>
          <w:rFonts w:ascii="Arial" w:cs="Arial" w:eastAsia="Arial" w:hAnsi="Arial"/>
          <w:sz w:val="24"/>
          <w:szCs w:val="24"/>
        </w:rPr>
        <w:t xml:space="preserve">Biotech Operations: Early career parallels to Loxo Oncology's COO model, understanding the biotech scaling playbook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Current Role: Reports directly to the CEO, serving as the chief external innovation strategist for Eli Lilly</w:t>
      </w:r>
      <w:r>
        <w:rPr>
          <w:rFonts w:ascii="Arial" w:cs="Arial" w:eastAsia="Arial" w:hAnsi="Arial"/>
          <w:sz w:val="24"/>
          <w:szCs w:val="24"/>
        </w:rPr>
        <w:t xml:space="preserve">Current Role: Reports directly to the CEO, serving as the chief external innovation strategist for Eli Lilly</w:t>
      </w:r>
    </w:p>
    <w:p>
      <w:pPr>
        <w:spacing w:after="100"/>
      </w:pPr>
      <w:r>
        <w:t xml:space="preserve">This investor-to-pharma transition gives Dr. Thornton a unique advantage: he evaluates deals with a venture capitalist's disciplined eye while applying pharmaceutical operational expertise. He understands both startup incentives and big pharma constraints, making him an effective negotiator and partner.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This investor-to-pharma transition gives Dr. Thornton a unique advantage: he evaluates deals with a venture capitalist's disciplined eye while applying pharmaceutical operational expertise. He understands both startup incentives and big pharma constraints, making him an effective negotiator and partner.</w:t>
      </w:r>
    </w:p>
    <w:p>
      <w:pPr>
        <w:spacing w:before="200" w:after="100"/>
      </w:pPr>
      <w:r>
        <w:t xml:space="preserve">4. Strategic BD Priorities in Neuroscience</w:t>
      </w:r>
      <w:r>
        <w:rPr>
          <w:rFonts w:ascii="Arial" w:cs="Arial" w:eastAsia="Arial" w:hAnsi="Arial"/>
          <w:b/>
          <w:bCs/>
          <w:sz w:val="32"/>
          <w:szCs w:val="32"/>
        </w:rPr>
        <w:t xml:space="preserve">4. Strategic BD Priorities in Neuroscience</w:t>
      </w:r>
    </w:p>
    <w:p>
      <w:pPr>
        <w:spacing w:after="100"/>
      </w:pPr>
      <w:r>
        <w:t xml:space="preserve">Neuroscience is Dr. Thornton's primary strategic focus. His deal flow reflects clear therapeutic area priorities: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Neuroscience is Dr. Thornton's primary strategic focus. His deal flow reflects clear therapeutic area priorities: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ALS (Amyotrophic Lateral Sclerosis): Gene therapies and antisense oligonucleotides (ASOs) via Alchemab and QurAlis partnerships</w:t>
      </w:r>
      <w:r>
        <w:rPr>
          <w:rFonts w:ascii="Arial" w:cs="Arial" w:eastAsia="Arial" w:hAnsi="Arial"/>
          <w:sz w:val="24"/>
          <w:szCs w:val="24"/>
        </w:rPr>
        <w:t xml:space="preserve">ALS (Amyotrophic Lateral Sclerosis): Gene therapies and antisense oligonucleotides (ASOs) via Alchemab and QurAlis partnerships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Chronic Pain: Nav1.8 sodium channel inhibition (SiteOne, $1B valuation) represents non-opioid pain relief innovation</w:t>
      </w:r>
      <w:r>
        <w:rPr>
          <w:rFonts w:ascii="Arial" w:cs="Arial" w:eastAsia="Arial" w:hAnsi="Arial"/>
          <w:sz w:val="24"/>
          <w:szCs w:val="24"/>
        </w:rPr>
        <w:t xml:space="preserve">Chronic Pain: Nav1.8 sodium channel inhibition (SiteOne, $1B valuation) represents non-opioid pain relief innovation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Blood-Brain Barrier (BBB) Penetration: Sangamo's STAC-BBB AAV platform enables CNS-directed gene therapies, addressing a critical translational barrier</w:t>
      </w:r>
      <w:r>
        <w:rPr>
          <w:rFonts w:ascii="Arial" w:cs="Arial" w:eastAsia="Arial" w:hAnsi="Arial"/>
          <w:sz w:val="24"/>
          <w:szCs w:val="24"/>
        </w:rPr>
        <w:t xml:space="preserve">Blood-Brain Barrier (BBB) Penetration: Sangamo's STAC-BBB AAV platform enables CNS-directed gene therapies, addressing a critical translational barrier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Neuropsychiatry: Addiction, depression, anxiety—areas with "huge unmet needs" and limited competitive solutions</w:t>
      </w:r>
      <w:r>
        <w:rPr>
          <w:rFonts w:ascii="Arial" w:cs="Arial" w:eastAsia="Arial" w:hAnsi="Arial"/>
          <w:sz w:val="24"/>
          <w:szCs w:val="24"/>
        </w:rPr>
        <w:t xml:space="preserve">Neuropsychiatry: Addiction, depression, anxiety—areas with "huge unmet needs" and limited competitive solutions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Alzheimer's Beyond Amyloid: Tau protein aggregation, neuroinflammation pathways, and combination therapies for disease modification</w:t>
      </w:r>
      <w:r>
        <w:rPr>
          <w:rFonts w:ascii="Arial" w:cs="Arial" w:eastAsia="Arial" w:hAnsi="Arial"/>
          <w:sz w:val="24"/>
          <w:szCs w:val="24"/>
        </w:rPr>
        <w:t xml:space="preserve">Alzheimer's Beyond Amyloid: Tau protein aggregation, neuroinflammation pathways, and combination therapies for disease modification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Parkinson's: GBA1 mutations, synucleinopathy-targeting approaches, and neuroprotective strategies</w:t>
      </w:r>
      <w:r>
        <w:rPr>
          <w:rFonts w:ascii="Arial" w:cs="Arial" w:eastAsia="Arial" w:hAnsi="Arial"/>
          <w:sz w:val="24"/>
          <w:szCs w:val="24"/>
        </w:rPr>
        <w:t xml:space="preserve">Parkinson's: GBA1 mutations, synucleinopathy-targeting approaches, and neuroprotective strategies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Gene Therapy &amp; Editing: CRISPR, base editing, and RNA therapeutics for monogenic neurodegenerative diseases</w:t>
      </w:r>
      <w:r>
        <w:rPr>
          <w:rFonts w:ascii="Arial" w:cs="Arial" w:eastAsia="Arial" w:hAnsi="Arial"/>
          <w:sz w:val="24"/>
          <w:szCs w:val="24"/>
        </w:rPr>
        <w:t xml:space="preserve">Gene Therapy &amp; Editing: CRISPR, base editing, and RNA therapeutics for monogenic neurodegenerative diseases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Incretin Biology in Neuroscience: Exploring dual-modality approaches (e.g., GLP-1 analogs with neurodegenerative benefits)</w:t>
      </w:r>
      <w:r>
        <w:rPr>
          <w:rFonts w:ascii="Arial" w:cs="Arial" w:eastAsia="Arial" w:hAnsi="Arial"/>
          <w:sz w:val="24"/>
          <w:szCs w:val="24"/>
        </w:rPr>
        <w:t xml:space="preserve">Incretin Biology in Neuroscience: Exploring dual-modality approaches (e.g., GLP-1 analogs with neurodegenerative benefits)</w:t>
      </w:r>
    </w:p>
    <w:p>
      <w:pPr>
        <w:spacing w:before="200" w:after="100"/>
      </w:pPr>
      <w:r>
        <w:t xml:space="preserve">5. Decision-Making Framework</w:t>
      </w:r>
      <w:r>
        <w:rPr>
          <w:rFonts w:ascii="Arial" w:cs="Arial" w:eastAsia="Arial" w:hAnsi="Arial"/>
          <w:b/>
          <w:bCs/>
          <w:sz w:val="32"/>
          <w:szCs w:val="32"/>
        </w:rPr>
        <w:t xml:space="preserve">5. Decision-Making Framework</w:t>
      </w:r>
    </w:p>
    <w:p>
      <w:pPr>
        <w:spacing w:after="100"/>
      </w:pPr>
      <w:r>
        <w:t xml:space="preserve">Dr. Thornton employs a rigorous, cross-functional decision-making process: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Dr. Thornton employs a rigorous, cross-functional decision-making process:</w:t>
      </w:r>
    </w:p>
    <w:p>
      <w:pPr>
        <w:spacing w:before="200" w:after="100"/>
      </w:pPr>
      <w:r>
        <w:t xml:space="preserve">Core Scientific Filter: 'High Conviction in Science'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Core Scientific Filter: 'High Conviction in Science'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Evidence of unequivocal early activity (proof-of-concept in animal models or Phase 1 human studies)</w:t>
      </w:r>
      <w:r>
        <w:rPr>
          <w:rFonts w:ascii="Arial" w:cs="Arial" w:eastAsia="Arial" w:hAnsi="Arial"/>
          <w:sz w:val="24"/>
          <w:szCs w:val="24"/>
        </w:rPr>
        <w:t xml:space="preserve">Evidence of unequivocal early activity (proof-of-concept in animal models or Phase 1 human studies)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Outsized and differentiated effects for patients compared to standard of care</w:t>
      </w:r>
      <w:r>
        <w:rPr>
          <w:rFonts w:ascii="Arial" w:cs="Arial" w:eastAsia="Arial" w:hAnsi="Arial"/>
          <w:sz w:val="24"/>
          <w:szCs w:val="24"/>
        </w:rPr>
        <w:t xml:space="preserve">Outsized and differentiated effects for patients compared to standard of care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Clear biological mechanism and modality advantage</w:t>
      </w:r>
      <w:r>
        <w:rPr>
          <w:rFonts w:ascii="Arial" w:cs="Arial" w:eastAsia="Arial" w:hAnsi="Arial"/>
          <w:sz w:val="24"/>
          <w:szCs w:val="24"/>
        </w:rPr>
        <w:t xml:space="preserve">Clear biological mechanism and modality advantage</w:t>
      </w:r>
    </w:p>
    <w:p>
      <w:pPr>
        <w:spacing w:before="200" w:after="100"/>
      </w:pPr>
      <w:r>
        <w:t xml:space="preserve">Modality-Agnostic Evaluation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Modality-Agnostic Evaluation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 preset preference for small molecules vs. biologics vs. gene therapies</w:t>
      </w:r>
      <w:r>
        <w:rPr>
          <w:rFonts w:ascii="Arial" w:cs="Arial" w:eastAsia="Arial" w:hAnsi="Arial"/>
          <w:sz w:val="24"/>
          <w:szCs w:val="24"/>
        </w:rPr>
        <w:t xml:space="preserve">No preset preference for small molecules vs. biologics vs. gene therapies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Science and patient benefit drive modality selection</w:t>
      </w:r>
      <w:r>
        <w:rPr>
          <w:rFonts w:ascii="Arial" w:cs="Arial" w:eastAsia="Arial" w:hAnsi="Arial"/>
          <w:sz w:val="24"/>
          <w:szCs w:val="24"/>
        </w:rPr>
        <w:t xml:space="preserve">Science and patient benefit drive modality selection</w:t>
      </w:r>
    </w:p>
    <w:p>
      <w:pPr>
        <w:spacing w:before="200" w:after="100"/>
      </w:pPr>
      <w:r>
        <w:t xml:space="preserve">Cross-Functional Deal Committee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Cross-Functional Deal Committee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Therapeutic Area Search Teams: Dedicated neuroscience team scans landscape continuously</w:t>
      </w:r>
      <w:r>
        <w:rPr>
          <w:rFonts w:ascii="Arial" w:cs="Arial" w:eastAsia="Arial" w:hAnsi="Arial"/>
          <w:sz w:val="24"/>
          <w:szCs w:val="24"/>
        </w:rPr>
        <w:t xml:space="preserve">Therapeutic Area Search Teams: Dedicated neuroscience team scans landscape continuously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R&amp;D Validation: Chief Scientific Officer and therapeutic area heads assess scientific merit</w:t>
      </w:r>
      <w:r>
        <w:rPr>
          <w:rFonts w:ascii="Arial" w:cs="Arial" w:eastAsia="Arial" w:hAnsi="Arial"/>
          <w:sz w:val="24"/>
          <w:szCs w:val="24"/>
        </w:rPr>
        <w:t xml:space="preserve">R&amp;D Validation: Chief Scientific Officer and therapeutic area heads assess scientific merit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Clinical &amp; Regulatory: Path to IND and regulatory feasibility evaluated early</w:t>
      </w:r>
      <w:r>
        <w:rPr>
          <w:rFonts w:ascii="Arial" w:cs="Arial" w:eastAsia="Arial" w:hAnsi="Arial"/>
          <w:sz w:val="24"/>
          <w:szCs w:val="24"/>
        </w:rPr>
        <w:t xml:space="preserve">Clinical &amp; Regulatory: Path to IND and regulatory feasibility evaluated early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Commercial &amp; Finance: Market size, peak sales potential, and deal economics modeled</w:t>
      </w:r>
      <w:r>
        <w:rPr>
          <w:rFonts w:ascii="Arial" w:cs="Arial" w:eastAsia="Arial" w:hAnsi="Arial"/>
          <w:sz w:val="24"/>
          <w:szCs w:val="24"/>
        </w:rPr>
        <w:t xml:space="preserve">Commercial &amp; Finance: Market size, peak sales potential, and deal economics modeled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Alliance &amp; Innovation Management: Post-deal integration and partnership management capacity assessed</w:t>
      </w:r>
      <w:r>
        <w:rPr>
          <w:rFonts w:ascii="Arial" w:cs="Arial" w:eastAsia="Arial" w:hAnsi="Arial"/>
          <w:sz w:val="24"/>
          <w:szCs w:val="24"/>
        </w:rPr>
        <w:t xml:space="preserve">Alliance &amp; Innovation Management: Post-deal integration and partnership management capacity assessed</w:t>
      </w:r>
    </w:p>
    <w:p>
      <w:pPr>
        <w:spacing w:before="200" w:after="100"/>
      </w:pPr>
      <w:r>
        <w:t xml:space="preserve">6. View on Deal Structures &amp; Partnerships</w:t>
      </w:r>
      <w:r>
        <w:rPr>
          <w:rFonts w:ascii="Arial" w:cs="Arial" w:eastAsia="Arial" w:hAnsi="Arial"/>
          <w:b/>
          <w:bCs/>
          <w:sz w:val="32"/>
          <w:szCs w:val="32"/>
        </w:rPr>
        <w:t xml:space="preserve">6. View on Deal Structures &amp; Partnerships</w:t>
      </w:r>
    </w:p>
    <w:p>
      <w:pPr>
        <w:spacing w:after="100"/>
      </w:pPr>
      <w:r>
        <w:t xml:space="preserve">Dr. Thornton's deal structures reflect a partnership-first philosophy balanced with financial discipline: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Dr. Thornton's deal structures reflect a partnership-first philosophy balanced with financial discipline:</w:t>
      </w:r>
    </w:p>
    <w:p>
      <w:pPr>
        <w:spacing w:before="200" w:after="100"/>
      </w:pPr>
      <w:r>
        <w:t xml:space="preserve">Deal Structure Patterns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Deal Structure Patterns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Upfront Payments: Ranges from $18M to $350M depending on stage, data, and therapeutic area</w:t>
      </w:r>
      <w:r>
        <w:rPr>
          <w:rFonts w:ascii="Arial" w:cs="Arial" w:eastAsia="Arial" w:hAnsi="Arial"/>
          <w:sz w:val="24"/>
          <w:szCs w:val="24"/>
        </w:rPr>
        <w:t xml:space="preserve">Upfront Payments: Ranges from $18M to $350M depending on stage, data, and therapeutic area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Total Deal Value: Ranges from $45M (early-stage options) to $8.5B (in-licensing of approved assets)</w:t>
      </w:r>
      <w:r>
        <w:rPr>
          <w:rFonts w:ascii="Arial" w:cs="Arial" w:eastAsia="Arial" w:hAnsi="Arial"/>
          <w:sz w:val="24"/>
          <w:szCs w:val="24"/>
        </w:rPr>
        <w:t xml:space="preserve">Total Deal Value: Ranges from $45M (early-stage options) to $8.5B (in-licensing of approved assets)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Royalties: Mid-single digits (4-7%) for early-stage partners, to double-digit (10-15%+) for late-stage/approved products</w:t>
      </w:r>
      <w:r>
        <w:rPr>
          <w:rFonts w:ascii="Arial" w:cs="Arial" w:eastAsia="Arial" w:hAnsi="Arial"/>
          <w:sz w:val="24"/>
          <w:szCs w:val="24"/>
        </w:rPr>
        <w:t xml:space="preserve">Royalties: Mid-single digits (4-7%) for early-stage partners, to double-digit (10-15%+) for late-stage/approved products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Milestones: Back-end loaded (development, regulatory, commercial milestones exceed upfront payments)</w:t>
      </w:r>
      <w:r>
        <w:rPr>
          <w:rFonts w:ascii="Arial" w:cs="Arial" w:eastAsia="Arial" w:hAnsi="Arial"/>
          <w:sz w:val="24"/>
          <w:szCs w:val="24"/>
        </w:rPr>
        <w:t xml:space="preserve">Milestones: Back-end loaded (development, regulatory, commercial milestones exceed upfront payments)</w:t>
      </w:r>
    </w:p>
    <w:p>
      <w:pPr>
        <w:spacing w:before="200" w:after="100"/>
      </w:pPr>
      <w:r>
        <w:t xml:space="preserve">Partnership Models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Partnership Models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Lilly Open Innovation (OpenApp Platform): Enables early-stage collaboration without exclusive upfront commitment</w:t>
      </w:r>
      <w:r>
        <w:rPr>
          <w:rFonts w:ascii="Arial" w:cs="Arial" w:eastAsia="Arial" w:hAnsi="Arial"/>
          <w:sz w:val="24"/>
          <w:szCs w:val="24"/>
        </w:rPr>
        <w:t xml:space="preserve">Lilly Open Innovation (OpenApp Platform): Enables early-stage collaboration without exclusive upfront commitment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Lilly Ventures: Equity investments in promising biotech for strategic optionality and ecosystem engagement</w:t>
      </w:r>
      <w:r>
        <w:rPr>
          <w:rFonts w:ascii="Arial" w:cs="Arial" w:eastAsia="Arial" w:hAnsi="Arial"/>
          <w:sz w:val="24"/>
          <w:szCs w:val="24"/>
        </w:rPr>
        <w:t xml:space="preserve">Lilly Ventures: Equity investments in promising biotech for strategic optionality and ecosystem engagement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Gateway Labs: Provides lab space, mentorship, and bench access to emerging biotech founders</w:t>
      </w:r>
      <w:r>
        <w:rPr>
          <w:rFonts w:ascii="Arial" w:cs="Arial" w:eastAsia="Arial" w:hAnsi="Arial"/>
          <w:sz w:val="24"/>
          <w:szCs w:val="24"/>
        </w:rPr>
        <w:t xml:space="preserve">Gateway Labs: Provides lab space, mentorship, and bench access to emerging biotech founders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Catalyze360: Offers capital, technology platforms, and R&amp;D access to accelerate development timelines</w:t>
      </w:r>
      <w:r>
        <w:rPr>
          <w:rFonts w:ascii="Arial" w:cs="Arial" w:eastAsia="Arial" w:hAnsi="Arial"/>
          <w:sz w:val="24"/>
          <w:szCs w:val="24"/>
        </w:rPr>
        <w:t xml:space="preserve">Catalyze360: Offers capital, technology platforms, and R&amp;D access to accelerate development timelines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ExploR&amp;D: Flexible research collaborations with academia and small biotech without acquisition pressure</w:t>
      </w:r>
      <w:r>
        <w:rPr>
          <w:rFonts w:ascii="Arial" w:cs="Arial" w:eastAsia="Arial" w:hAnsi="Arial"/>
          <w:sz w:val="24"/>
          <w:szCs w:val="24"/>
        </w:rPr>
        <w:t xml:space="preserve">ExploR&amp;D: Flexible research collaborations with academia and small biotech without acquisition pressure</w:t>
      </w:r>
    </w:p>
    <w:p>
      <w:pPr>
        <w:spacing w:after="100"/>
      </w:pPr>
      <w:r>
        <w:t xml:space="preserve">Dr. Thornton prefers research collaborations with upfront options over immediate acquisitions, allowing both parties to de-risk before full commitment. This approach has driven the 45 deals and $21.22B transaction volume in 2025.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Dr. Thornton prefers research collaborations with upfront options over immediate acquisitions, allowing both parties to de-risk before full commitment. This approach has driven the 45 deals and $21.22B transaction volume in 2025.</w:t>
      </w:r>
    </w:p>
    <w:p>
      <w:pPr>
        <w:spacing w:before="200" w:after="100"/>
      </w:pPr>
      <w:r>
        <w:t xml:space="preserve">7. Pain Points &amp; Frustrations</w:t>
      </w:r>
      <w:r>
        <w:rPr>
          <w:rFonts w:ascii="Arial" w:cs="Arial" w:eastAsia="Arial" w:hAnsi="Arial"/>
          <w:b/>
          <w:bCs/>
          <w:sz w:val="32"/>
          <w:szCs w:val="32"/>
        </w:rPr>
        <w:t xml:space="preserve">7. Pain Points &amp; Frustrations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2024 Pipeline Setbacks: Discontinuation of proprietary gene therapy programs raises internal questions about execution capability and risk management in high-risk modalities</w:t>
      </w:r>
      <w:r>
        <w:rPr>
          <w:rFonts w:ascii="Arial" w:cs="Arial" w:eastAsia="Arial" w:hAnsi="Arial"/>
          <w:sz w:val="24"/>
          <w:szCs w:val="24"/>
        </w:rPr>
        <w:t xml:space="preserve">2024 Pipeline Setbacks: Discontinuation of proprietary gene therapy programs raises internal questions about execution capability and risk management in high-risk modalities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Integration Capacity Questions: With 45 deals in 2025, concerns arise about Lilly's ability to integrate partners, manage milestone obligations, and deliver post-deal value</w:t>
      </w:r>
      <w:r>
        <w:rPr>
          <w:rFonts w:ascii="Arial" w:cs="Arial" w:eastAsia="Arial" w:hAnsi="Arial"/>
          <w:sz w:val="24"/>
          <w:szCs w:val="24"/>
        </w:rPr>
        <w:t xml:space="preserve">Integration Capacity Questions: With 45 deals in 2025, concerns arise about Lilly's ability to integrate partners, manage milestone obligations, and deliver post-deal value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GLP-1 Dependency Overshadowing: Despite neuroscience momentum, Wall Street continues to focus disproportionately on Mounjaro/Zepbound (GLP-1) revenue, diminishing credit for BD diversification</w:t>
      </w:r>
      <w:r>
        <w:rPr>
          <w:rFonts w:ascii="Arial" w:cs="Arial" w:eastAsia="Arial" w:hAnsi="Arial"/>
          <w:sz w:val="24"/>
          <w:szCs w:val="24"/>
        </w:rPr>
        <w:t xml:space="preserve">GLP-1 Dependency Overshadowing: Despite neuroscience momentum, Wall Street continues to focus disproportionately on Mounjaro/Zepbound (GLP-1) revenue, diminishing credit for BD diversification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Tau Pipeline Gap: Competitors (Eli Lilly included) face delays in tau-targeting therapeutics, creating competitive pressure and longer timelines to Alzheimer's franchise expansion</w:t>
      </w:r>
      <w:r>
        <w:rPr>
          <w:rFonts w:ascii="Arial" w:cs="Arial" w:eastAsia="Arial" w:hAnsi="Arial"/>
          <w:sz w:val="24"/>
          <w:szCs w:val="24"/>
        </w:rPr>
        <w:t xml:space="preserve">Tau Pipeline Gap: Competitors (Eli Lilly included) face delays in tau-targeting therapeutics, creating competitive pressure and longer timelines to Alzheimer's franchise expansion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Competition for Assets: Roche, Biogen, AbbVie, and Lilly all compete for best-in-class ALS, pain, and neuroscience assets, driving deal valuations higher</w:t>
      </w:r>
      <w:r>
        <w:rPr>
          <w:rFonts w:ascii="Arial" w:cs="Arial" w:eastAsia="Arial" w:hAnsi="Arial"/>
          <w:sz w:val="24"/>
          <w:szCs w:val="24"/>
        </w:rPr>
        <w:t xml:space="preserve">Competition for Assets: Roche, Biogen, AbbVie, and Lilly all compete for best-in-class ALS, pain, and neuroscience assets, driving deal valuations higher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Prevail Gene Therapy Execution: Recent acquisition of Prevail and gene therapy platform creates execution risk; regulatory and manufacturing complexities require flawless delivery</w:t>
      </w:r>
      <w:r>
        <w:rPr>
          <w:rFonts w:ascii="Arial" w:cs="Arial" w:eastAsia="Arial" w:hAnsi="Arial"/>
          <w:sz w:val="24"/>
          <w:szCs w:val="24"/>
        </w:rPr>
        <w:t xml:space="preserve">Prevail Gene Therapy Execution: Recent acquisition of Prevail and gene therapy platform creates execution risk; regulatory and manufacturing complexities require flawless delivery</w:t>
      </w:r>
    </w:p>
    <w:p>
      <w:pPr>
        <w:spacing w:before="200" w:after="100"/>
      </w:pPr>
      <w:r>
        <w:t xml:space="preserve">8. What Gets Them Excited</w:t>
      </w:r>
      <w:r>
        <w:rPr>
          <w:rFonts w:ascii="Arial" w:cs="Arial" w:eastAsia="Arial" w:hAnsi="Arial"/>
          <w:b/>
          <w:bCs/>
          <w:sz w:val="32"/>
          <w:szCs w:val="32"/>
        </w:rPr>
        <w:t xml:space="preserve">8. What Gets Them Excited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Novel CNS Delivery Platforms: Technologies that cross the blood-brain barrier (like Sangamo's STAC-BBB) unlock entire therapeutic categories previously inaccessible</w:t>
      </w:r>
      <w:r>
        <w:rPr>
          <w:rFonts w:ascii="Arial" w:cs="Arial" w:eastAsia="Arial" w:hAnsi="Arial"/>
          <w:sz w:val="24"/>
          <w:szCs w:val="24"/>
        </w:rPr>
        <w:t xml:space="preserve">Novel CNS Delivery Platforms: Technologies that cross the blood-brain barrier (like Sangamo's STAC-BBB) unlock entire therapeutic categories previously inaccessible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ALS Breakthrough Therapies: Programs showing meaningful slowing of disease progression with durable clinical benefit excite Dr. Thornton; ALS is personal and impactful</w:t>
      </w:r>
      <w:r>
        <w:rPr>
          <w:rFonts w:ascii="Arial" w:cs="Arial" w:eastAsia="Arial" w:hAnsi="Arial"/>
          <w:sz w:val="24"/>
          <w:szCs w:val="24"/>
        </w:rPr>
        <w:t xml:space="preserve">ALS Breakthrough Therapies: Programs showing meaningful slowing of disease progression with durable clinical benefit excite Dr. Thornton; ALS is personal and impactful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Chronic Pain Mechanisms: Non-opioid pain relief (Nav1.8, TRPV1, other ion channels) addresses societal crisis and massive unmet need</w:t>
      </w:r>
      <w:r>
        <w:rPr>
          <w:rFonts w:ascii="Arial" w:cs="Arial" w:eastAsia="Arial" w:hAnsi="Arial"/>
          <w:sz w:val="24"/>
          <w:szCs w:val="24"/>
        </w:rPr>
        <w:t xml:space="preserve">Chronic Pain Mechanisms: Non-opioid pain relief (Nav1.8, TRPV1, other ion channels) addresses societal crisis and massive unmet need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Gene Therapy &amp; Editing for Monogenic Diseases: Cure-focused approaches (CRISPR, base editing) for rare neurodegenerative diseases represent moonshot science</w:t>
      </w:r>
      <w:r>
        <w:rPr>
          <w:rFonts w:ascii="Arial" w:cs="Arial" w:eastAsia="Arial" w:hAnsi="Arial"/>
          <w:sz w:val="24"/>
          <w:szCs w:val="24"/>
        </w:rPr>
        <w:t xml:space="preserve">Gene Therapy &amp; Editing for Monogenic Diseases: Cure-focused approaches (CRISPR, base editing) for rare neurodegenerative diseases represent moonshot science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Clinical Data Showing Early Unequivocal Activity: Phase 1 or Phase 2a data demonstrating unexpected potency or mechanism validation ignites deal enthusiasm</w:t>
      </w:r>
      <w:r>
        <w:rPr>
          <w:rFonts w:ascii="Arial" w:cs="Arial" w:eastAsia="Arial" w:hAnsi="Arial"/>
          <w:sz w:val="24"/>
          <w:szCs w:val="24"/>
        </w:rPr>
        <w:t xml:space="preserve">Clinical Data Showing Early Unequivocal Activity: Phase 1 or Phase 2a data demonstrating unexpected potency or mechanism validation ignites deal enthusiasm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Scientist-to-Scientist Engagement: Founder scientist meetings where biological insights are debated and validated at the bench level</w:t>
      </w:r>
      <w:r>
        <w:rPr>
          <w:rFonts w:ascii="Arial" w:cs="Arial" w:eastAsia="Arial" w:hAnsi="Arial"/>
          <w:sz w:val="24"/>
          <w:szCs w:val="24"/>
        </w:rPr>
        <w:t xml:space="preserve">Scientist-to-Scientist Engagement: Founder scientist meetings where biological insights are debated and validated at the bench level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Bold Science Addressing Huge Unmet Needs: Neuropsychiatry, addiction, neuroinflammation—areas where current therapies fall short and patient desperation is high</w:t>
      </w:r>
      <w:r>
        <w:rPr>
          <w:rFonts w:ascii="Arial" w:cs="Arial" w:eastAsia="Arial" w:hAnsi="Arial"/>
          <w:sz w:val="24"/>
          <w:szCs w:val="24"/>
        </w:rPr>
        <w:t xml:space="preserve">Bold Science Addressing Huge Unmet Needs: Neuropsychiatry, addiction, neuroinflammation—areas where current therapies fall short and patient desperation is high</w:t>
      </w:r>
    </w:p>
    <w:p>
      <w:pPr>
        <w:spacing w:before="200" w:after="100"/>
      </w:pPr>
      <w:r>
        <w:t xml:space="preserve">9. How They Engage with Biotech</w:t>
      </w:r>
      <w:r>
        <w:rPr>
          <w:rFonts w:ascii="Arial" w:cs="Arial" w:eastAsia="Arial" w:hAnsi="Arial"/>
          <w:b/>
          <w:bCs/>
          <w:sz w:val="32"/>
          <w:szCs w:val="32"/>
        </w:rPr>
        <w:t xml:space="preserve">9. How They Engage with Biotech</w:t>
      </w:r>
    </w:p>
    <w:p>
      <w:pPr>
        <w:spacing w:after="100"/>
      </w:pPr>
      <w:r>
        <w:t xml:space="preserve">Dr. Thornton has built a multifaceted engagement model that meets biotech partners at different stages and with different needs: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Dr. Thornton has built a multifaceted engagement model that meets biotech partners at different stages and with different needs:</w:t>
      </w:r>
    </w:p>
    <w:p>
      <w:pPr>
        <w:spacing w:before="200" w:after="100"/>
      </w:pPr>
      <w:r>
        <w:t xml:space="preserve">Early-Stage Engagement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Early-Stage Engagement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Lilly Ventures: Equity investments signal long-term commitment without upfront exclusivity demands</w:t>
      </w:r>
      <w:r>
        <w:rPr>
          <w:rFonts w:ascii="Arial" w:cs="Arial" w:eastAsia="Arial" w:hAnsi="Arial"/>
          <w:sz w:val="24"/>
          <w:szCs w:val="24"/>
        </w:rPr>
        <w:t xml:space="preserve">Lilly Ventures: Equity investments signal long-term commitment without upfront exclusivity demands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Gateway Labs: Physical presence, mentorship, and collaboration with Lilly scientists de-risk technical challenges early</w:t>
      </w:r>
      <w:r>
        <w:rPr>
          <w:rFonts w:ascii="Arial" w:cs="Arial" w:eastAsia="Arial" w:hAnsi="Arial"/>
          <w:sz w:val="24"/>
          <w:szCs w:val="24"/>
        </w:rPr>
        <w:t xml:space="preserve">Gateway Labs: Physical presence, mentorship, and collaboration with Lilly scientists de-risk technical challenges early</w:t>
      </w:r>
    </w:p>
    <w:p>
      <w:pPr>
        <w:spacing w:before="200" w:after="100"/>
      </w:pPr>
      <w:r>
        <w:t xml:space="preserve">Development-Stage Partnerships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Development-Stage Partnerships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ExploR&amp;D Collaborations: Research partnerships with flexible timelines and milestone structures</w:t>
      </w:r>
      <w:r>
        <w:rPr>
          <w:rFonts w:ascii="Arial" w:cs="Arial" w:eastAsia="Arial" w:hAnsi="Arial"/>
          <w:sz w:val="24"/>
          <w:szCs w:val="24"/>
        </w:rPr>
        <w:t xml:space="preserve">ExploR&amp;D Collaborations: Research partnerships with flexible timelines and milestone structures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Therapeutic Area Search Teams: Dedicated scouts identify programs at pre-clinical and early IND-ready stages</w:t>
      </w:r>
      <w:r>
        <w:rPr>
          <w:rFonts w:ascii="Arial" w:cs="Arial" w:eastAsia="Arial" w:hAnsi="Arial"/>
          <w:sz w:val="24"/>
          <w:szCs w:val="24"/>
        </w:rPr>
        <w:t xml:space="preserve">Therapeutic Area Search Teams: Dedicated scouts identify programs at pre-clinical and early IND-ready stages</w:t>
      </w:r>
    </w:p>
    <w:p>
      <w:pPr>
        <w:spacing w:before="200" w:after="100"/>
      </w:pPr>
      <w:r>
        <w:t xml:space="preserve">Clinical &amp; Commercial-Stage Deals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Clinical &amp; Commercial-Stage Deals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Catalyze360 Access: For scaling biotech, Lilly offers capital, technology platforms (e.g., formulation, manufacturing), and R&amp;D support</w:t>
      </w:r>
      <w:r>
        <w:rPr>
          <w:rFonts w:ascii="Arial" w:cs="Arial" w:eastAsia="Arial" w:hAnsi="Arial"/>
          <w:sz w:val="24"/>
          <w:szCs w:val="24"/>
        </w:rPr>
        <w:t xml:space="preserve">Catalyze360 Access: For scaling biotech, Lilly offers capital, technology platforms (e.g., formulation, manufacturing), and R&amp;D support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Fast Decision Cycle: Dr. Thornton can move from term sheet to signed agreement in 60-90 days for high-conviction deals</w:t>
      </w:r>
      <w:r>
        <w:rPr>
          <w:rFonts w:ascii="Arial" w:cs="Arial" w:eastAsia="Arial" w:hAnsi="Arial"/>
          <w:sz w:val="24"/>
          <w:szCs w:val="24"/>
        </w:rPr>
        <w:t xml:space="preserve">Fast Decision Cycle: Dr. Thornton can move from term sheet to signed agreement in 60-90 days for high-conviction deals</w:t>
      </w:r>
    </w:p>
    <w:p>
      <w:pPr>
        <w:spacing w:before="200" w:after="100"/>
      </w:pPr>
      <w:r>
        <w:t xml:space="preserve">Strategic Partnerships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Strategic Partnerships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CEO/CSO Engagement: For major acquisitions ($500M+), Dr. Thornton brings Eli Lilly's CEO and Chief Scientific Officer into discussions to signal commitment</w:t>
      </w:r>
      <w:r>
        <w:rPr>
          <w:rFonts w:ascii="Arial" w:cs="Arial" w:eastAsia="Arial" w:hAnsi="Arial"/>
          <w:sz w:val="24"/>
          <w:szCs w:val="24"/>
        </w:rPr>
        <w:t xml:space="preserve">CEO/CSO Engagement: For major acquisitions ($500M+), Dr. Thornton brings Eli Lilly's CEO and Chief Scientific Officer into discussions to signal commitment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R&amp;D Validation: Final deal approval hinges on R&amp;D head sign-off; science always gates commercial enthusiasm</w:t>
      </w:r>
      <w:r>
        <w:rPr>
          <w:rFonts w:ascii="Arial" w:cs="Arial" w:eastAsia="Arial" w:hAnsi="Arial"/>
          <w:sz w:val="24"/>
          <w:szCs w:val="24"/>
        </w:rPr>
        <w:t xml:space="preserve">R&amp;D Validation: Final deal approval hinges on R&amp;D head sign-off; science always gates commercial enthusiasm</w:t>
      </w:r>
    </w:p>
    <w:p>
      <w:pPr>
        <w:spacing w:before="200" w:after="100"/>
      </w:pPr>
      <w:r>
        <w:t xml:space="preserve">10. Communication &amp; Negotiation Style</w:t>
      </w:r>
      <w:r>
        <w:rPr>
          <w:rFonts w:ascii="Arial" w:cs="Arial" w:eastAsia="Arial" w:hAnsi="Arial"/>
          <w:b/>
          <w:bCs/>
          <w:sz w:val="32"/>
          <w:szCs w:val="32"/>
        </w:rPr>
        <w:t xml:space="preserve">10. Communication &amp; Negotiation Style</w:t>
      </w:r>
    </w:p>
    <w:p>
      <w:pPr>
        <w:spacing w:after="100"/>
      </w:pPr>
      <w:r>
        <w:t xml:space="preserve">Dr. Thornton's negotiation approach reflects his dual background in venture capital and pharma: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Dr. Thornton's negotiation approach reflects his dual background in venture capital and pharma:</w:t>
      </w:r>
    </w:p>
    <w:p>
      <w:pPr>
        <w:spacing w:before="200" w:after="100"/>
      </w:pPr>
      <w:r>
        <w:t xml:space="preserve">Data-Driven &amp; Analytical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Data-Driven &amp; Analytical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Every discussion backed by precedent data (comparable deals, risk-adjusted valuations, market sizes)</w:t>
      </w:r>
      <w:r>
        <w:rPr>
          <w:rFonts w:ascii="Arial" w:cs="Arial" w:eastAsia="Arial" w:hAnsi="Arial"/>
          <w:sz w:val="24"/>
          <w:szCs w:val="24"/>
        </w:rPr>
        <w:t xml:space="preserve">Every discussion backed by precedent data (comparable deals, risk-adjusted valuations, market sizes)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Spreadsheet-fluent; expects biotech partners to model scenarios and sensitivity analyses</w:t>
      </w:r>
      <w:r>
        <w:rPr>
          <w:rFonts w:ascii="Arial" w:cs="Arial" w:eastAsia="Arial" w:hAnsi="Arial"/>
          <w:sz w:val="24"/>
          <w:szCs w:val="24"/>
        </w:rPr>
        <w:t xml:space="preserve">Spreadsheet-fluent; expects biotech partners to model scenarios and sensitivity analyses</w:t>
      </w:r>
    </w:p>
    <w:p>
      <w:pPr>
        <w:spacing w:before="200" w:after="100"/>
      </w:pPr>
      <w:r>
        <w:t xml:space="preserve">Scientific Rigor Non-Negotiable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Scientific Rigor Non-Negotiable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Will challenge scientific claims directly; respects biotech founders who defend their data with rigor</w:t>
      </w:r>
      <w:r>
        <w:rPr>
          <w:rFonts w:ascii="Arial" w:cs="Arial" w:eastAsia="Arial" w:hAnsi="Arial"/>
          <w:sz w:val="24"/>
          <w:szCs w:val="24"/>
        </w:rPr>
        <w:t xml:space="preserve">Will challenge scientific claims directly; respects biotech founders who defend their data with rigor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Skeptical of overoptimistic projections; values candid discussion of risks and limitations</w:t>
      </w:r>
      <w:r>
        <w:rPr>
          <w:rFonts w:ascii="Arial" w:cs="Arial" w:eastAsia="Arial" w:hAnsi="Arial"/>
          <w:sz w:val="24"/>
          <w:szCs w:val="24"/>
        </w:rPr>
        <w:t xml:space="preserve">Skeptical of overoptimistic projections; values candid discussion of risks and limitations</w:t>
      </w:r>
    </w:p>
    <w:p>
      <w:pPr>
        <w:spacing w:before="200" w:after="100"/>
      </w:pPr>
      <w:r>
        <w:t xml:space="preserve">Long-Term Partnership Builder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Long-Term Partnership Builder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Not transactional; seeks partnerships that extend beyond single programs to platform relationships</w:t>
      </w:r>
      <w:r>
        <w:rPr>
          <w:rFonts w:ascii="Arial" w:cs="Arial" w:eastAsia="Arial" w:hAnsi="Arial"/>
          <w:sz w:val="24"/>
          <w:szCs w:val="24"/>
        </w:rPr>
        <w:t xml:space="preserve">Not transactional; seeks partnerships that extend beyond single programs to platform relationships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Transparent about Lilly's priorities, timelines, and constraints; expects same from partners</w:t>
      </w:r>
      <w:r>
        <w:rPr>
          <w:rFonts w:ascii="Arial" w:cs="Arial" w:eastAsia="Arial" w:hAnsi="Arial"/>
          <w:sz w:val="24"/>
          <w:szCs w:val="24"/>
        </w:rPr>
        <w:t xml:space="preserve">Transparent about Lilly's priorities, timelines, and constraints; expects same from partners</w:t>
      </w:r>
    </w:p>
    <w:p>
      <w:pPr>
        <w:spacing w:before="200" w:after="100"/>
      </w:pPr>
      <w:r>
        <w:t xml:space="preserve">Risk-Tolerant for High-Conviction Science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Risk-Tolerant for High-Conviction Science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Willing to bet on earlier-stage data if scientific mechanism is compelling</w:t>
      </w:r>
      <w:r>
        <w:rPr>
          <w:rFonts w:ascii="Arial" w:cs="Arial" w:eastAsia="Arial" w:hAnsi="Arial"/>
          <w:sz w:val="24"/>
          <w:szCs w:val="24"/>
        </w:rPr>
        <w:t xml:space="preserve">Willing to bet on earlier-stage data if scientific mechanism is compelling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Understands biotech risk; patient with development timelines but impatient with execution excuses</w:t>
      </w:r>
      <w:r>
        <w:rPr>
          <w:rFonts w:ascii="Arial" w:cs="Arial" w:eastAsia="Arial" w:hAnsi="Arial"/>
          <w:sz w:val="24"/>
          <w:szCs w:val="24"/>
        </w:rPr>
        <w:t xml:space="preserve">Understands biotech risk; patient with development timelines but impatient with execution excuses</w:t>
      </w:r>
    </w:p>
    <w:p>
      <w:pPr>
        <w:spacing w:before="200" w:after="100"/>
      </w:pPr>
      <w:r>
        <w:t xml:space="preserve">Quick Decider, Patient with Timelines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Quick Decider, Patient with Timelines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Makes yes/no decisions rapidly once diligence is complete</w:t>
      </w:r>
      <w:r>
        <w:rPr>
          <w:rFonts w:ascii="Arial" w:cs="Arial" w:eastAsia="Arial" w:hAnsi="Arial"/>
          <w:sz w:val="24"/>
          <w:szCs w:val="24"/>
        </w:rPr>
        <w:t xml:space="preserve">Makes yes/no decisions rapidly once diligence is complete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But fully committed to development timelines; no pressure to accelerate beyond science-supported speeds</w:t>
      </w:r>
      <w:r>
        <w:rPr>
          <w:rFonts w:ascii="Arial" w:cs="Arial" w:eastAsia="Arial" w:hAnsi="Arial"/>
          <w:sz w:val="24"/>
          <w:szCs w:val="24"/>
        </w:rPr>
        <w:t xml:space="preserve">But fully committed to development timelines; no pressure to accelerate beyond science-supported speeds</w:t>
      </w:r>
    </w:p>
    <w:p>
      <w:pPr>
        <w:spacing w:before="200" w:after="100"/>
      </w:pPr>
      <w:r>
        <w:t xml:space="preserve">Founder Engagement Critical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Founder Engagement Critical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Insists on meeting founder/CEO early; wants to assess scientific passion and leadership capability</w:t>
      </w:r>
      <w:r>
        <w:rPr>
          <w:rFonts w:ascii="Arial" w:cs="Arial" w:eastAsia="Arial" w:hAnsi="Arial"/>
          <w:sz w:val="24"/>
          <w:szCs w:val="24"/>
        </w:rPr>
        <w:t xml:space="preserve">Insists on meeting founder/CEO early; wants to assess scientific passion and leadership capability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Believes founder-to-Lilly relationship is foundation of successful partnership</w:t>
      </w:r>
      <w:r>
        <w:rPr>
          <w:rFonts w:ascii="Arial" w:cs="Arial" w:eastAsia="Arial" w:hAnsi="Arial"/>
          <w:sz w:val="24"/>
          <w:szCs w:val="24"/>
        </w:rPr>
        <w:t xml:space="preserve">Believes founder-to-Lilly relationship is foundation of successful partnership</w:t>
      </w:r>
    </w:p>
    <w:p>
      <w:pPr>
        <w:spacing w:before="200" w:after="100"/>
      </w:pPr>
      <w:r>
        <w:t xml:space="preserve">11. Metrics They Track</w:t>
      </w:r>
      <w:r>
        <w:rPr>
          <w:rFonts w:ascii="Arial" w:cs="Arial" w:eastAsia="Arial" w:hAnsi="Arial"/>
          <w:b/>
          <w:bCs/>
          <w:sz w:val="32"/>
          <w:szCs w:val="32"/>
        </w:rPr>
        <w:t xml:space="preserve">11. Metrics They Track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Deal Volume &amp; Value: 45 deals in 2025, $21.22B in total transaction value (beats annual targets)</w:t>
      </w:r>
      <w:r>
        <w:rPr>
          <w:rFonts w:ascii="Arial" w:cs="Arial" w:eastAsia="Arial" w:hAnsi="Arial"/>
          <w:sz w:val="24"/>
          <w:szCs w:val="24"/>
        </w:rPr>
        <w:t xml:space="preserve">Deal Volume &amp; Value: 45 deals in 2025, $21.22B in total transaction value (beats annual targets)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Pipeline Diversification: % of new medicines outside incretin biology (target: 75%+; currently tracking)</w:t>
      </w:r>
      <w:r>
        <w:rPr>
          <w:rFonts w:ascii="Arial" w:cs="Arial" w:eastAsia="Arial" w:hAnsi="Arial"/>
          <w:sz w:val="24"/>
          <w:szCs w:val="24"/>
        </w:rPr>
        <w:t xml:space="preserve">Pipeline Diversification: % of new medicines outside incretin biology (target: 75%+; currently tracking)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Time to IND Post-Acquisition: Average time from deal close to IND filing (tracks R&amp;D execution)</w:t>
      </w:r>
      <w:r>
        <w:rPr>
          <w:rFonts w:ascii="Arial" w:cs="Arial" w:eastAsia="Arial" w:hAnsi="Arial"/>
          <w:sz w:val="24"/>
          <w:szCs w:val="24"/>
        </w:rPr>
        <w:t xml:space="preserve">Time to IND Post-Acquisition: Average time from deal close to IND filing (tracks R&amp;D execution)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Risk-Adjusted Revenue Forecast: $25B target revenue from BD since 2022 by 2030 (back-calculated from deals)</w:t>
      </w:r>
      <w:r>
        <w:rPr>
          <w:rFonts w:ascii="Arial" w:cs="Arial" w:eastAsia="Arial" w:hAnsi="Arial"/>
          <w:sz w:val="24"/>
          <w:szCs w:val="24"/>
        </w:rPr>
        <w:t xml:space="preserve">Risk-Adjusted Revenue Forecast: $25B target revenue from BD since 2022 by 2030 (back-calculated from deals)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Milestone Achievement: % of BD partners hitting milestones on time (partnership health indicator)</w:t>
      </w:r>
      <w:r>
        <w:rPr>
          <w:rFonts w:ascii="Arial" w:cs="Arial" w:eastAsia="Arial" w:hAnsi="Arial"/>
          <w:sz w:val="24"/>
          <w:szCs w:val="24"/>
        </w:rPr>
        <w:t xml:space="preserve">Milestone Achievement: % of BD partners hitting milestones on time (partnership health indicator)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Kisunla Revenue Trajectory: Donanemab revenue ramp post-July 2024 approval (validates Alzheimer's franchise)</w:t>
      </w:r>
      <w:r>
        <w:rPr>
          <w:rFonts w:ascii="Arial" w:cs="Arial" w:eastAsia="Arial" w:hAnsi="Arial"/>
          <w:sz w:val="24"/>
          <w:szCs w:val="24"/>
        </w:rPr>
        <w:t xml:space="preserve">Kisunla Revenue Trajectory: Donanemab revenue ramp post-July 2024 approval (validates Alzheimer's franchise)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Neuroscience Program Progression: ALS and chronic pain program advancement (clinical readouts, regulatory approvals)</w:t>
      </w:r>
      <w:r>
        <w:rPr>
          <w:rFonts w:ascii="Arial" w:cs="Arial" w:eastAsia="Arial" w:hAnsi="Arial"/>
          <w:sz w:val="24"/>
          <w:szCs w:val="24"/>
        </w:rPr>
        <w:t xml:space="preserve">Neuroscience Program Progression: ALS and chronic pain program advancement (clinical readouts, regulatory approvals)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Partnership Satisfaction Scores: Surveys of biotech partners on Lilly collaboration quality, speed, and support</w:t>
      </w:r>
      <w:r>
        <w:rPr>
          <w:rFonts w:ascii="Arial" w:cs="Arial" w:eastAsia="Arial" w:hAnsi="Arial"/>
          <w:sz w:val="24"/>
          <w:szCs w:val="24"/>
        </w:rPr>
        <w:t xml:space="preserve">Partnership Satisfaction Scores: Surveys of biotech partners on Lilly collaboration quality, speed, and support</w:t>
      </w:r>
    </w:p>
    <w:p>
      <w:pPr>
        <w:spacing w:before="200" w:after="100"/>
      </w:pPr>
      <w:r>
        <w:t xml:space="preserve">12. Long-Term BD Vision</w:t>
      </w:r>
      <w:r>
        <w:rPr>
          <w:rFonts w:ascii="Arial" w:cs="Arial" w:eastAsia="Arial" w:hAnsi="Arial"/>
          <w:b/>
          <w:bCs/>
          <w:sz w:val="32"/>
          <w:szCs w:val="32"/>
        </w:rPr>
        <w:t xml:space="preserve">12. Long-Term BD Vision</w:t>
      </w:r>
    </w:p>
    <w:p>
      <w:pPr>
        <w:spacing w:after="100"/>
      </w:pPr>
      <w:r>
        <w:t xml:space="preserve">Dr. Thornton's overarching objective is to establish Eli Lilly as the most attractive innovation partner for bold neuroscience. His five-year vision: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Dr. Thornton's overarching objective is to establish Eli Lilly as the most attractive innovation partner for bold neuroscience. His five-year vision: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Build Lilly into a Neuroscience Powerhouse: Match the strength of the metabolic franchise (GLP-1) with equally compelling neuroscience portfolio</w:t>
      </w:r>
      <w:r>
        <w:rPr>
          <w:rFonts w:ascii="Arial" w:cs="Arial" w:eastAsia="Arial" w:hAnsi="Arial"/>
          <w:sz w:val="24"/>
          <w:szCs w:val="24"/>
        </w:rPr>
        <w:t xml:space="preserve">Build Lilly into a Neuroscience Powerhouse: Match the strength of the metabolic franchise (GLP-1) with equally compelling neuroscience portfolio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Achieve $25B Risk-Adjusted Revenue by 2030 from BD: All BD deals since 2022 collectively deliver $25B in risk-adjusted revenue (de-risked from peak sales)</w:t>
      </w:r>
      <w:r>
        <w:rPr>
          <w:rFonts w:ascii="Arial" w:cs="Arial" w:eastAsia="Arial" w:hAnsi="Arial"/>
          <w:sz w:val="24"/>
          <w:szCs w:val="24"/>
        </w:rPr>
        <w:t xml:space="preserve">Achieve $25B Risk-Adjusted Revenue by 2030 from BD: All BD deals since 2022 collectively deliver $25B in risk-adjusted revenue (de-risked from peak sales)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Diversify Pipeline Beyond GLP-1: Ensure 75%+ of new medicines are outside incretin biology; create a balanced, multi-franchise company</w:t>
      </w:r>
      <w:r>
        <w:rPr>
          <w:rFonts w:ascii="Arial" w:cs="Arial" w:eastAsia="Arial" w:hAnsi="Arial"/>
          <w:sz w:val="24"/>
          <w:szCs w:val="24"/>
        </w:rPr>
        <w:t xml:space="preserve">Diversify Pipeline Beyond GLP-1: Ensure 75%+ of new medicines are outside incretin biology; create a balanced, multi-franchise company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Lead in Four Neuroscience Franchises: Establish #1 or #2 market position in ALS, chronic pain, Alzheimer's (post-amyloid), and gene therapy for neurodegeneration</w:t>
      </w:r>
      <w:r>
        <w:rPr>
          <w:rFonts w:ascii="Arial" w:cs="Arial" w:eastAsia="Arial" w:hAnsi="Arial"/>
          <w:sz w:val="24"/>
          <w:szCs w:val="24"/>
        </w:rPr>
        <w:t xml:space="preserve">Lead in Four Neuroscience Franchises: Establish #1 or #2 market position in ALS, chronic pain, Alzheimer's (post-amyloid), and gene therapy for neurodegeneration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Maintain Dealmaker Momentum: Continue the pace of 45 deals annually; become known as "fast, fair, and founder-friendly" partner</w:t>
      </w:r>
      <w:r>
        <w:rPr>
          <w:rFonts w:ascii="Arial" w:cs="Arial" w:eastAsia="Arial" w:hAnsi="Arial"/>
          <w:sz w:val="24"/>
          <w:szCs w:val="24"/>
        </w:rPr>
        <w:t xml:space="preserve">Maintain Dealmaker Momentum: Continue the pace of 45 deals annually; become known as "fast, fair, and founder-friendly" partner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Establish Lilly as Most Attractive Partner for Bold Science: Positioning statement: "Lilly funds the science others won't, with the expertise to deliver."</w:t>
      </w:r>
      <w:r>
        <w:rPr>
          <w:rFonts w:ascii="Arial" w:cs="Arial" w:eastAsia="Arial" w:hAnsi="Arial"/>
          <w:sz w:val="24"/>
          <w:szCs w:val="24"/>
        </w:rPr>
        <w:t xml:space="preserve">Establish Lilly as Most Attractive Partner for Bold Science: Positioning statement: "Lilly funds the science others won't, with the expertise to deliver."</w:t>
      </w:r>
    </w:p>
    <w:p>
      <w:pPr>
        <w:spacing w:before="200" w:after="100"/>
      </w:pPr>
      <w:r>
        <w:t xml:space="preserve">Engaging Dr. Thornton: Key Takeaways</w:t>
      </w:r>
      <w:r>
        <w:rPr>
          <w:rFonts w:ascii="Arial" w:cs="Arial" w:eastAsia="Arial" w:hAnsi="Arial"/>
          <w:b/>
          <w:bCs/>
          <w:sz w:val="32"/>
          <w:szCs w:val="32"/>
        </w:rPr>
        <w:t xml:space="preserve">Engaging Dr. Thornton: Key Takeaways</w:t>
      </w:r>
    </w:p>
    <w:p>
      <w:pPr>
        <w:spacing w:after="100"/>
      </w:pPr>
      <w:r>
        <w:t xml:space="preserve">For biotech companies seeking a BD partner, Dr. Jacob Thornton represents a rare combination of attributes: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For biotech companies seeking a BD partner, Dr. Jacob Thornton represents a rare combination of attributes: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Fast decision-making backed by rigorous science evaluation</w:t>
      </w:r>
      <w:r>
        <w:rPr>
          <w:rFonts w:ascii="Arial" w:cs="Arial" w:eastAsia="Arial" w:hAnsi="Arial"/>
          <w:sz w:val="24"/>
          <w:szCs w:val="24"/>
        </w:rPr>
        <w:t xml:space="preserve">Fast decision-making backed by rigorous science evaluation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Deep biotech ecosystem understanding (investor background)</w:t>
      </w:r>
      <w:r>
        <w:rPr>
          <w:rFonts w:ascii="Arial" w:cs="Arial" w:eastAsia="Arial" w:hAnsi="Arial"/>
          <w:sz w:val="24"/>
          <w:szCs w:val="24"/>
        </w:rPr>
        <w:t xml:space="preserve">Deep biotech ecosystem understanding (investor background)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Transparent, founder-friendly partnership approach</w:t>
      </w:r>
      <w:r>
        <w:rPr>
          <w:rFonts w:ascii="Arial" w:cs="Arial" w:eastAsia="Arial" w:hAnsi="Arial"/>
          <w:sz w:val="24"/>
          <w:szCs w:val="24"/>
        </w:rPr>
        <w:t xml:space="preserve">Transparent, founder-friendly partnership approach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Access to world-class R&amp;D, regulatory, and commercial resources</w:t>
      </w:r>
      <w:r>
        <w:rPr>
          <w:rFonts w:ascii="Arial" w:cs="Arial" w:eastAsia="Arial" w:hAnsi="Arial"/>
          <w:sz w:val="24"/>
          <w:szCs w:val="24"/>
        </w:rPr>
        <w:t xml:space="preserve">Access to world-class R&amp;D, regulatory, and commercial resources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CEO-level commitment to strategic priorities (neuroscience, gene therapy, unmet needs)</w:t>
      </w:r>
      <w:r>
        <w:rPr>
          <w:rFonts w:ascii="Arial" w:cs="Arial" w:eastAsia="Arial" w:hAnsi="Arial"/>
          <w:sz w:val="24"/>
          <w:szCs w:val="24"/>
        </w:rPr>
        <w:t xml:space="preserve">CEO-level commitment to strategic priorities (neuroscience, gene therapy, unmet needs)</w:t>
      </w:r>
    </w:p>
    <w:p>
      <w:pPr>
        <w:spacing w:after="100"/>
      </w:pPr>
      <w:r>
        <w:t xml:space="preserve">Dr. Thornton is most responsive to: novel CNS delivery science, breakthrough ALS/pain data, gene therapy mechanisms, founder scientist engagement, and partnerships that address "huge unmet needs." He is modality-agnostic and willing to take smart risks if the science is bold and the team is credible.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Dr. Thornton is most responsive to: novel CNS delivery science, breakthrough ALS/pain data, gene therapy mechanisms, founder scientist engagement, and partnerships that address "huge unmet needs." He is modality-agnostic and willing to take smart risks if the science is bold and the team is credible.</w:t>
      </w:r>
    </w:p>
    <w:p>
      <w:pPr>
        <w:spacing w:after="100"/>
      </w:pPr>
      <w:r>
        <w:t xml:space="preserve">In 2025, Dr. Thornton exemplifies a new breed of pharma BD leader—part venture capitalist, part operational executive, wholly committed to accelerating external innovation into Eli Lilly's pipeline.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In 2025, Dr. Thornton exemplifies a new breed of pharma BD leader—part venture capitalist, part operational executive, wholly committed to accelerating external innovation into Eli Lilly's pipeline.</w:t>
      </w:r>
    </w:p>
    <w:p>
      <w:pPr>
        <w:spacing w:after="200"/>
      </w:pPr>
    </w:p>
    <w:p>
      <w:pPr>
        <w:spacing w:before="200" w:after="200"/>
        <w:jc w:val="center"/>
      </w:pPr>
      <w:r>
        <w:t xml:space="preserve">---</w:t>
      </w:r>
      <w:r>
        <w:rPr>
          <w:rFonts w:ascii="Arial" w:cs="Arial" w:eastAsia="Arial" w:hAnsi="Arial"/>
          <w:sz w:val="24"/>
          <w:szCs w:val="24"/>
        </w:rPr>
        <w:t xml:space="preserve">---</w:t>
      </w:r>
    </w:p>
    <w:p>
      <w:pPr>
        <w:spacing w:after="100"/>
        <w:jc w:val="center"/>
      </w:pPr>
      <w:r>
        <w:t xml:space="preserve">Document Created: February 2026 | Eli Lilly BD Persona | Confidential</w:t>
      </w:r>
      <w:r>
        <w:rPr>
          <w:rFonts w:ascii="Arial" w:cs="Arial" w:eastAsia="Arial" w:hAnsi="Arial"/>
          <w:sz w:val="20"/>
          <w:szCs w:val="20"/>
        </w:rPr>
        <w:t xml:space="preserve">Document Created: February 2026 | Eli Lilly BD Persona | Confidential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2026-02-18T13:42:28.345Z</dcterms:created>
  <dcterms:modified xsi:type="dcterms:W3CDTF">2026-02-18T13:42:28.345Z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