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t xml:space="preserve">LUNDBECK BD PERSONA</w:t>
      </w:r>
    </w:p>
    <w:p>
      <w:pPr>
        <w:pStyle w:val="Heading2"/>
        <w:spacing w:after="60"/>
        <w:jc w:val="center"/>
        <w:rPr>
          <w:rFonts w:ascii="Arial" w:cs="Arial" w:eastAsia="Arial" w:hAnsi="Arial"/>
          <w:b/>
          <w:bCs/>
          <w:sz w:val="26"/>
          <w:szCs w:val="26"/>
        </w:rPr>
      </w:pPr>
      <w:r>
        <w:t xml:space="preserve">Dr. Henrik Sorensen, PhD</w:t>
      </w:r>
    </w:p>
    <w:p>
      <w:pPr>
        <w:spacing w:after="60"/>
        <w:jc w:val="center"/>
        <w:rPr>
          <w:rFonts w:ascii="Arial" w:cs="Arial" w:eastAsia="Arial" w:hAnsi="Arial"/>
          <w:sz w:val="24"/>
          <w:szCs w:val="24"/>
        </w:rPr>
      </w:pPr>
      <w:r>
        <w:t xml:space="preserve">SVP, External Innovation &amp; Business Development</w:t>
      </w:r>
    </w:p>
    <w:p>
      <w:pPr>
        <w:spacing w:after="240"/>
        <w:jc w:val="center"/>
        <w:rPr>
          <w:rFonts w:ascii="Arial" w:cs="Arial" w:eastAsia="Arial" w:hAnsi="Arial"/>
          <w:i/>
          <w:iCs/>
          <w:sz w:val="24"/>
          <w:szCs w:val="24"/>
        </w:rPr>
      </w:pPr>
      <w:r>
        <w:t xml:space="preserve">H. Lundbeck A/S | Copenhagen, Denmark &amp; USA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1. Core Identity &amp; BD Philosophy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Lundbeck is a pure-play neuroscience company with 70+ years of heritage—not a diversified pharma. This identity drives every BD decision.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Programmatic and systemic BD approach: disciplined, structured, strategic fit required. CEO Debora Kwan van Zyl: "We're not desperate for deals." "We're not going to buy revenue." Every acquisition and partnership must: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Fit within neuroscience focus (no off-target therapeutic areas)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Contribute to pipeline gaps and strategic vision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Meet strict financial and value creation criteria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Address reimbursement and commercial feasibility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Portfolio includes 80–100 active partnerships. Lundbeck has demonstrated willingness to walk away from deals (Avadel precedent). Classified as a Focused Innovator in BD strategy—lean R&amp;D, selective acquisitions, heavy partnering.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2. Alignment with Lundbeck BD Strategy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Recent major transactions and partnerships exemplify the strategic direction: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Longboard Pharmaceuticals ($2.6B acquisition): bexicaserin for developmental and epileptic encephalopathies (DEEs) and Dravet syndrome—flagship rare neurological indication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Charles River Laboratories partnership: Logica AI platform for CNS drug discovery and optimization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Contera Pharma partnership: oligonucleotide (ASO) therapeutics for CNS indications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Gefion AI collaboration: supercomputer access for neuro AI-enabled research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Takeda partnership: Trintellix royalty transition and international market expansion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Commercial expansion: partnerships in 27 markets (Swixx, Zuellig, NewBridge) to drive psychiatric and emerging neuro-specialty sales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Portfolio shift: Moving from 70% psychiatry-dependent toward neuro-rare diseases and neuro-specialty. Post-2030 target: DKK 30B+ revenue.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3. Professional Background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 holds a PhD in neuroscience/pharmacology with 20+ years in neuroscience-focused roles: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Deep neuroscience expertise: university research, biotech discovery, or Lundbeck lifer (or similar pure-play neuro pharma background)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Dual career path: both commercial leadership (markets, pricing, reimbursement) and BD (licensing, M&amp;A, partnerships)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Reimbursement landscape knowledge: specialty pharmaceuticals, orphan drugs, rare disease pricing (especially in EU and US)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Modality fluency: comfortable with small molecules, biologics (monoclonal antibodies), oligonucleotides (ASOs), and emerging modalities (gene therapy, AI-enabled platforms)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European pharma culture with global perspective: understands Lundbeck's Copenhagen roots and commitment to Nordic work-life balance, combined with aggressive US market ambitions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Collaborative mindset: builds trust with internal R&amp;D, commercial, and external partners. Speaks both scientific and business languages.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4. Strategic BD Priorities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Sorensen's BD agenda is tightly focused on neuroscience-only indications with high unmet need and commercial potential: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Developmental and epileptic encephalopathies (DEEs) and rare epilepsy: Dravet, Lennox-Gastaut, genetic epilepsies—high unmet need, Breakthrough therapy potential, pediatric/adult franchise opportunity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Rare movement disorders: ataxias, multiple system atrophy (MSA), Huntington's disease, progressive supranuclear palsy (PSP)—lower competition, differentiated assets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Neuromuscular disorders: ALS, spinal muscular atrophy (SMA), myasthenia gravis—growing therapeutic interest, pipeline gaps at Lundbeck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Antisense oligonucleotides (ASOs) and biologics: CNS-penetrant, genetic basis, oligonucleotide or monoclonal approaches valued (Contera partnership model)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AI/ML-enabled discovery: platforms that accelerate CNS target identification and lead optimization (Charles River, Gefion partnerships)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Current pipeline snapshot: 8 of 9 Lundbeck R&amp;D programs are in neuro-rare/specialty or psychiatry-adjacent space. Psychiatry legacy remains (Rexulti, Vyepti, Wellbutrin), but neuro-rare is where growth is expected.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5. Decision-Making Framework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 evaluates all inbound BD opportunities against a rigorous four-stage process: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Stage 1: Strategic Fit Assessment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Is the asset/indication pure neuroscience? (Non-negotiable—no oncology, cardiology, etc.)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Does it fill a pipeline gap aligned with Focused Innovator strategy?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Does it fit rare disease, specialty neuro, or psychiatry core competencies?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Stage 2: Financial &amp; Value Creation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Does the deal meet Lundbeck's internal hurdle rates (IRR, NPV, payback period)?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Is the upfront, milestones, and royalty structure aligned with asset risk and value?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Are there no hidden liabilities or manufacturing/supply chain risks?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Stage 3: Clinical &amp; Regulatory Assessment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Is there a clear clinical development path? Breakthrough Therapy Designation is valued.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Are regulatory timelines realistic and aligned with Lundbeck's portfolio roadmap?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Are there biomarker, patient population, or intellectual property risks?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Stage 4: Commercial Potential &amp; Integration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Does the lead asset have blockbuster potential (&gt;$500M annual sales long-term)?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Can Lundbeck's commercial team effectively market it (rare disease networks, neurology specialists, direct-to-patient)?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Are there operational/manufacturing/alliance integration risks that can be mitigated?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If all four stages pass rigorous internal review (cross-functional: R&amp;D, Commercial, Finance, Legal), the deal advances to negotiation. If any stage fails, Lundbeck walks away—no exceptions.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6. View on Deal Structures &amp; Partnerships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 is pragmatic about deal architecture, tailoring structure to asset maturity and risk: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Large Acquisitions ($1.5B–$2.6B range): Full buyouts of late-stage, near-clinical-milestone assets with clear regulatory path and blockbuster potential. Example: Longboard Pharmaceuticals.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Mid-Size Deals ($200M–$400M total commitment): Combinations of upfront payment + clinical/regulatory milestones + royalties. Common for Phase 2–3 stage assets or earlier clinical programs with strong preclinical data.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Small Partnerships ($0–$50M upfront): Option structures, research collaborations, or licensing for early-stage (IND-stage, preclinical) assets. Lundbeck prefers upside optionality over high upfront payments for early-stage.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Milestone Emphasis: Dr. Sorensen favors milestone-heavy structures over straight royalties. Milestones tie payments to clinical, regulatory, and commercial de-risking—aligns incentives and preserves capital for Lundbeck.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Tiered Milestone Example: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Preclinical to Phase 2 initiation: $10–20M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Phase 2 top-line data: $15–25M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Phase 3 initiation: $20–30M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BLA/NDA acceptance: $25–50M</w:t>
      </w:r>
    </w:p>
    <w:p>
      <w:pPr>
        <w:pStyle w:val="ListParagraph"/>
        <w:pStyle w:val="Normal"/>
        <w:numPr>
          <w:ilvl w:val="1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FDA approval + commercial launch: $30–100M+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Royalty Rates: 6–12% for marketed drugs (depending on novelty and market). 10–15% for high-risk programs or Breakthrough assets.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Walk-Away Precedent: Lundbeck walked away from Avadel (dayvigo) late-stage partnership because the asking price (royalty + milestones) exceeded Lundbeck's valuation of the asset and commercial upside. This signals Dr. Sorensen's discipline: pure neuroscience fit is necessary but not sufficient. Value creation drives decision.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7. Pain Points &amp; Frustrations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Despite strategic discipline, Dr. Sorensen faces real commercial and market pressures: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Patent cliff approaching (2026–2030): Multiple key psychiatry products (Lexapro, Rexulti) face generic/biosimilar competition. Lundbeck must accelerate neuro-rare pipeline launches to offset revenue decline.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Increased competition for neuroscience assets: AbbVie, BMS, J&amp;J, Biogen, Alnylam all chasing same neuro-rare/specialty indications. Asset prices and milestone expectations rising.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"Not going to buy revenue" strategy limits deal universe: Many biotech firms expect Lundbeck to pay for near-term sales (Phase 3, NDA-ready assets). Dr. Sorensen won't overpay. This creates friction and lost deals.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Perception as mid-sized player: Lundbeck (circa $3B revenue) is smaller than AbbVie ($50B+), BMS ($50B+), J&amp;J ($94B+). May lose bidding wars to mega-pharma with deeper pockets.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Balancing psychiatry legacy with neuro-rare transformation: Some internal stakeholders (psychiatry commercial teams) fear loss of focus on psychiatry. External perception lags reality of strategic pivot.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EU regulatory complexity: EMA orphan designation processes, pCPA negotiations in individual EU countries, reimbursement timelines—slower than US FDA approval. Impacts launch planning.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Manufacturing &amp; supply chain de-risking: For small-molecule rare disease drugs, ensuring scaled, quality manufacturing post-acquisition is a hidden cost and timeline driver.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8. What Gets Them Excited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 is energized by assets and partnerships that tick multiple strategic and commercial boxes: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Pure neuroscience assets with no off-target therapeutic area overlap: Clean mechanism of action, CNS-focused indications, no cardiology or GI side effects.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Breakthrough Therapy Designations (BTD): Signals FDA confidence, potentially faster approval pathway, stronger payer perception of innovation.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Neuro-rare with extremely high unmet need: Few or no approved therapies, patient populations underserved, real disease burden (e.g., Dravet, ALS, MSA).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AI/ML platforms for CNS drug discovery: Platforms that accelerate lead identification, reduce R&amp;D cycle time, enable Lundbeck to compete with large pharma on pipeline velocity.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Oligonucleotide/ASO approaches for CNS: High scientific novelty, genetic basis, complementary to Lundbeck's small-molecule heritage. Examples: gene therapy for rare neurogenetic diseases.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Programs that complement Focused Innovator Strategy: Late-stage acquisitions that fill immediate pipeline gaps and near-term revenue drivers (bexicaserin model).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Clear evidence of patient benefit: Phase 2 data showing robust efficacy, good tolerability, clear PK/PD, and early commercial validation (patient advocacy groups, physician engagement).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9. How They Engage with Biotech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 operates within Lundbeck's established External Research &amp; Innovation ecosystem: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External Research &amp; Innovation Unit: Embedded within R&amp;D organization. Ensures scientific rigor and early alignment on development strategy before BD handoff.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Rigorous screening and assessment: Cross-functional evaluation (R&amp;D, Commercial, Medical, Finance). Scientific committee reviews preclinical/clinical data; commercial team assesses market opportunity and pricing.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"Tried and tested" approach: Lundbeck doesn't chase every novel mechanism. Prefers validated targets, clinical evidence, and mechanism classes with precedent (e.g., GABA modulators for seizures, serotonergic agents for depression/anxiety).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Lundbeck Biotech Incubator: Early-stage external relationships, often starting as research collaborations or option agreements before full partnership/acquisition.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Alliance Management: Post-deal governance; dedicated alliance manager assigned to each partnership/acquisition to ensure integration, hit milestones, and maintain relationship.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Partnering Days &amp; Innovation Events: Lundbeck hosts external innovation forums, investor presentations, and scientific symposia to source early-stage opportunities.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Long-term scientific collaborations: Dr. Sorensen values multi-year research partnerships (e.g., Charles River, Gefion) over one-off licensing. These build IP, reduce risk, and create optionality.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Communication: Direct, transparent, patient. Dr. Sorensen expects detailed chemistry, biology, clinical data, manufacturing, and regulatory information before progressing discussions.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10. Communication &amp; Negotiation Style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 embodies a disciplined, European pharma approach to BD engagement: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Patient and methodical: Won't rush to close. BD processes at Lundbeck include multiple decision gates and cross-functional approvals. Expect 3–6 month evaluation cycles for significant deals.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Science-forward: Conversations center on MOA, clinical data, unmet need, and development risk. Numbers (upfront, milestones, royalties) follow strategic fit assessment, not lead.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Transparent about constraints: Honest about Lundbeck's capital availability, financial hurdles, and strategic priorities. Won't mislead partners about timelines or decision criteria.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Clear about fit: If an asset is off-target TA or outside neuro focus, Dr. Sorensen will say so early and suggest alternative partners (large pharma, specialized neuro companies). Respects entrepreneurs' time.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Values long-term relationships: Even if a current deal doesn't close, Dr. Sorensen maintains relationships and revisits partnerships as assets progress or strategic priorities evolve.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Confident in neuroscience expertise: Lundbeck's 70+ year legacy in brain diseases gives Dr. Sorensen confidence. Won't second-guess scientific judgment under pressure.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Collaborative within partnerships: Once a deal closes, Dr. Sorensen shifts to internal champion mode—advocating for the partner within Lundbeck, resolving cross-functional friction, and ensuring alignment on development strategy.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11. Metrics They Track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 uses these KPIs to measure BD success and hold himself and the team accountable: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Pipeline balance: % of programs in psychiatry vs. neuro-rare/specialty. Target: move from 70% psychiatry to ~50% psychiatry, ~50% neuro-rare/specialty by 2027.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DKK 30B+ revenue trajectory: Post-2030 revenue target. Tracks each acquisition/partnership contribution to long-term revenue model.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Bexicaserin (Longboard) Phase 3 progress: Enrollment, efficacy signals, safety data. Flagship rare disease asset—closely monitored.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Partnership count &amp; maturity: Target 80–100 active partnerships. Mix of R&amp;D collaborations, option agreements, and co-development/marketing partnerships. Tracks time-to-activation and milestone achievement.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Commercial partner market performance: Rexulti (depression), Vyepti (migraine), Wellbutrin (depression)—external partners' sales in 27 international markets. Impact on Lundbeck royalty revenue.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Patent cliff mitigation: Years of exclusivity remaining for legacy products. Each new acquisition/launch delays overall revenue cliff.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BD cost per deal: Total external R&amp;D spending (upfronts, milestones, acquisitions) divided by number of deals closed. Monitors for overspending or inefficiency.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Time to Phase 2 initiation (post-acquisition): Average time from acquisition close to Phase 2 IND clearance. Reflects integration efficiency.</w:t>
      </w:r>
    </w:p>
    <w:p>
      <w:pPr>
        <w:pStyle w:val="Heading1"/>
        <w:pStyle w:val="Heading1"/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12. Long-Term BD Vision (2026–2035)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Sorensen's north star is transforming Lundbeck into the leading pure-play neuroscience company focused on rare and specialty indications: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Portfolio transformation: Shift from psychiatry-heavy (legacy Lexapro, Lilly partnership) to neuro-rare/specialty-leading. By 2030, neuro-rare assets (bexicaserin, post-BD acquisitions, AI-enabled launches) drive &gt;50% of revenue growth.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Revenue target: DKK 30B+ (~$4B USD equivalent) by 2031–2032, driven by pipeline launches + successful BD integrations + commercial partner expansion in emerging markets.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Maintain pure-play neuroscience identity: No oncology, cardiology, or adjacent TA acquisitions. Lundbeck's competitive moat is deep brain expertise and rare disease commercialization.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Build a neuro-rare franchise: Bexicaserin as anchor; additional rare epilepsy, ataxia, neuromuscular, and movement disorder assets stack into a differentiated neuro-rare portfolio.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Leverage 70+ years of brain expertise as moat: Other pharma companies will chase neuro-rare, but Lundbeck's heritage, neuroscience culture, and rare disease networks (physicians, patient organizations, advocacy groups) create defensibility.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Programmatic, disciplined deal-making: Continue "not buying revenue" ethos. Every BD decision filters through strategic fit, financial rigor, and value creation. This discipline attracts best-in-class biotech partners and creates sustainable growth.</w:t>
      </w:r>
    </w:p>
    <w:p>
      <w:pPr>
        <w:pStyle w:val="ListParagraph"/>
        <w:pStyle w:val="Normal"/>
        <w:numPr>
          <w:ilvl w:val="0"/>
          <w:numId w:val="1"/>
        </w:numPr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AI/ML and modality expansion: Build BD relationships with AI-enabled discovery platforms (Charles River, Gefion model) and oligonucleotide/gene therapy pioneers to stay at forefront of CNS innovation.</w:t>
      </w:r>
    </w:p>
    <w:p>
      <w:pPr>
        <w:pStyle w:val="Normal"/>
        <w:spacing w:before="60" w:after="60"/>
        <w:rPr>
          <w:rFonts w:ascii="Arial" w:cs="Arial" w:eastAsia="Arial" w:hAnsi="Arial"/>
          <w:sz w:val="24"/>
          <w:szCs w:val="24"/>
        </w:rPr>
      </w:pPr>
      <w:r>
        <w:t xml:space="preserve">Dr. Sorensen's legacy: Position Lundbeck as "the place" that neuroscience entrepreneurs and innovators trust—where pure science, rigorous BD, and long-term partnership success converge.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2026-02-18T13:42:05.914Z</dcterms:created>
  <dcterms:modified xsi:type="dcterms:W3CDTF">2026-02-18T13:42:05.914Z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