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PERSONA: Dr. Andrew Fairbanks, MBA</w:t>
      </w:r>
    </w:p>
    <w:p>
      <w:pPr>
        <w:pStyle w:val="Heading2"/>
        <w:spacing w:after="120"/>
      </w:pPr>
      <w:r>
        <w:t xml:space="preserve">SVP, Corporate Strategy &amp; Business Development</w:t>
      </w:r>
    </w:p>
    <w:p>
      <w:pPr>
        <w:spacing w:after="0"/>
      </w:pPr>
      <w:r>
        <w:t xml:space="preserve">Location: </w:t>
      </w:r>
      <w:r>
        <w:rPr>
          <w:b w:val="false"/>
          <w:bCs w:val="false"/>
        </w:rPr>
        <w:t xml:space="preserve">New York, NY (global deal oversight US/EU/Asia)</w:t>
      </w:r>
    </w:p>
    <w:p>
      <w:pPr>
        <w:spacing w:after="0"/>
      </w:pPr>
      <w:r>
        <w:t xml:space="preserve">Experience: </w:t>
      </w:r>
      <w:r>
        <w:rPr>
          <w:b w:val="false"/>
          <w:bCs w:val="false"/>
        </w:rPr>
        <w:t xml:space="preserve">22+ years across investment banking, large-cap pharma BD, and venture capital</w:t>
      </w:r>
    </w:p>
    <w:p>
      <w:pPr>
        <w:spacing w:after="0"/>
      </w:pPr>
      <w:r>
        <w:t xml:space="preserve">Reports To: </w:t>
      </w:r>
      <w:r>
        <w:rPr>
          <w:b w:val="false"/>
          <w:bCs w:val="false"/>
        </w:rPr>
        <w:t xml:space="preserve">Chief Strategy &amp; Innovation Officer (Andrew Baum)</w:t>
      </w:r>
    </w:p>
    <w:p>
      <w:pPr>
        <w:spacing w:after="240"/>
      </w:pPr>
      <w:r>
        <w:t xml:space="preserve">Span of Control: </w:t>
      </w:r>
      <w:r>
        <w:rPr>
          <w:b w:val="false"/>
          <w:bCs w:val="false"/>
        </w:rPr>
        <w:t xml:space="preserve">~80 FTEs (Business Development, Strategic Transactions, Alliance Management, Competitive Intelligence)</w:t>
      </w:r>
    </w:p>
    <w:p>
      <w:pPr>
        <w:pStyle w:val="Heading2"/>
        <w:spacing w:before="240" w:after="120"/>
      </w:pPr>
      <w:r>
        <w:t xml:space="preserve">1. Core Identity &amp; BD Philosophy</w:t>
      </w:r>
    </w:p>
    <w:p>
      <w:pPr>
        <w:spacing w:after="120"/>
      </w:pPr>
      <w:r>
        <w:t xml:space="preserve">Dr. Fairbanks is a deal-driven strategist shaped by Pfizer's "Build, Buy, Partner" model and post-Seagen acquisition culture. His identity blends: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execution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Portfolio-driven deal origination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 creation through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deal architecture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Speed-to-close mentality</w:t>
      </w:r>
    </w:p>
    <w:p>
      <w:pPr>
        <w:spacing w:after="240"/>
      </w:pPr>
      <w:r>
        <w:t xml:space="preserve">He believes BD must serve as the primary growth engine for Pfizer's pipeline renewal, not a supplement to internal discovery.</w:t>
      </w:r>
    </w:p>
    <w:p>
      <w:pPr>
        <w:spacing w:after="240"/>
      </w:pPr>
      <w:r>
        <w:t xml:space="preserve">He often says: "Every dollar we deploy externally competes with every dollar we could deploy internally. The bar is the same—but the clock is faster."</w:t>
      </w:r>
    </w:p>
    <w:p>
      <w:pPr>
        <w:pStyle w:val="Heading2"/>
        <w:spacing w:before="240" w:after="120"/>
      </w:pPr>
      <w:r>
        <w:t xml:space="preserve">2. Alignment with Pfizer BD Strategy</w:t>
      </w:r>
    </w:p>
    <w:p>
      <w:pPr>
        <w:spacing w:after="240"/>
      </w:pPr>
      <w:r>
        <w:t xml:space="preserve">At Pfizer, Fairbanks operates under five institutional BD principles:</w:t>
      </w:r>
    </w:p>
    <w:p>
      <w:pPr>
        <w:pStyle w:val="Heading3"/>
        <w:spacing w:before="120" w:after="120"/>
      </w:pPr>
      <w:r>
        <w:t xml:space="preserve">BD as Pipeline Engine</w:t>
      </w:r>
    </w:p>
    <w:p>
      <w:pPr>
        <w:spacing w:after="120"/>
      </w:pPr>
      <w:r>
        <w:t xml:space="preserve">Pfizer sources ~40% of its pipeline externally. Fairbanks: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Treats BD as a core R&amp;D function, not a support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Maintains a standing watch list of 200+ clinical-stage assets globally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Operates a "deal room" model with parallel evaluation tracks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Coordinates with Andrew Baum's Innovation Supply Chain framework (adapted from Flagship Pioneering model)</w:t>
      </w:r>
    </w:p>
    <w:p>
      <w:pPr>
        <w:spacing w:after="240"/>
      </w:pPr>
      <w:r>
        <w:t xml:space="preserve">He expects every therapeutic area head to identify external gaps annually.</w:t>
      </w:r>
    </w:p>
    <w:p>
      <w:pPr>
        <w:pStyle w:val="Heading3"/>
        <w:spacing w:before="120" w:after="120"/>
      </w:pPr>
      <w:r>
        <w:t xml:space="preserve">Capital Allocation at Scale</w:t>
      </w:r>
    </w:p>
    <w:p>
      <w:pPr>
        <w:spacing w:after="120"/>
      </w:pPr>
      <w:r>
        <w:t xml:space="preserve">Pfizer deploys $5-10B+ annually on external innovation. Fairbanks requires: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Risk-adjusted NPV modeling for every transaction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Portfolio-level capital optimization (not asset-level)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synergy quantification for M&amp;A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Disciplined earn-out and milestone structuring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Post-Seagen integration learnings applied to future deals</w:t>
      </w:r>
    </w:p>
    <w:p>
      <w:pPr>
        <w:spacing w:after="240"/>
      </w:pPr>
      <w:r>
        <w:t xml:space="preserve">He expects every deal to defend its capital allocation against alternative deployments.</w:t>
      </w:r>
    </w:p>
    <w:p>
      <w:pPr>
        <w:pStyle w:val="Heading3"/>
        <w:spacing w:before="120" w:after="120"/>
      </w:pPr>
      <w:r>
        <w:t xml:space="preserve">Therapeutic Area Focus</w:t>
      </w:r>
    </w:p>
    <w:p>
      <w:pPr>
        <w:spacing w:after="120"/>
      </w:pPr>
      <w:r>
        <w:t xml:space="preserve">Post-2025 strategic realignment priorities: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Oncology (anchor franchise post-Seagen)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Immunology/Inflammation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Vaccines &amp; Infectious Disease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Metabolic diseases (obesity/cardiometabolic)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NOTE: Pfizer exited neuroscience discovery research in October 2025, though legacy neuro assets remain in late-stage development</w:t>
      </w:r>
    </w:p>
    <w:p>
      <w:pPr>
        <w:pStyle w:val="Heading3"/>
        <w:spacing w:before="120" w:after="120"/>
      </w:pPr>
      <w:r>
        <w:t xml:space="preserve">Deal Structure Innovation</w:t>
      </w:r>
    </w:p>
    <w:p>
      <w:pPr>
        <w:spacing w:after="120"/>
      </w:pPr>
      <w:r>
        <w:t xml:space="preserve">Pfizer's deal toolkit includes: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Large-scale M&amp;A ($5B-$43B range, per Seagen precedent)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Option-to-acquire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Co-development agreements with milestone triggers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licensing deals with therapeutic rights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Venture investment through Pfizer Ventures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Innovation Supply Chain model (embedded partnerships modeled on Flagship approach)</w:t>
      </w:r>
    </w:p>
    <w:p>
      <w:pPr>
        <w:pStyle w:val="Heading3"/>
        <w:spacing w:before="120" w:after="120"/>
      </w:pPr>
      <w:r>
        <w:t xml:space="preserve">Speed as Competitive Advantage</w:t>
      </w:r>
    </w:p>
    <w:p>
      <w:pPr>
        <w:spacing w:after="120"/>
      </w:pPr>
      <w:r>
        <w:t xml:space="preserve">Post-COVID execution culture extends to BD: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due diligence tracks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Compressed deal timelines (target: 90 days from LOI to close for licensing)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Pre-authorized term sheets for priority therapeutic areas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Standing cross-functional deal teams</w:t>
      </w:r>
    </w:p>
    <w:p>
      <w:pPr>
        <w:spacing w:after="240"/>
      </w:pPr>
      <w:r>
        <w:t xml:space="preserve">He measures BD teams on cycle time from first meeting to term sheet.</w:t>
      </w:r>
    </w:p>
    <w:p>
      <w:pPr>
        <w:pStyle w:val="Heading2"/>
        <w:spacing w:before="240" w:after="120"/>
      </w:pPr>
      <w:r>
        <w:t xml:space="preserve">3. Professional Background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PhD in Biochemistry (MIT)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MBA from Wharton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Former healthcare investment banker (Goldman Sachs, 6 years)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Pfizer BD leadership across multiple therapeutic areas (14+ years)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Pfizer's integration of Seagen acquisition ($43B)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Board observer roles across 4 Pfizer Ventures portfolio companies</w:t>
      </w:r>
    </w:p>
    <w:p>
      <w:pPr>
        <w:spacing w:after="120"/>
      </w:pPr>
      <w:r>
        <w:t xml:space="preserve">Deep expertise 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 transaction execution and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Licensing and option deal structuring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intelligence and asset 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strategy and capital allocation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Alliance management and partnership governance</w:t>
      </w:r>
    </w:p>
    <w:p>
      <w:pPr>
        <w:spacing w:after="240"/>
      </w:pPr>
      <w:r>
        <w:t xml:space="preserve">He is a "deal architect" who can model, negotiate, and close across the full spectrum from early licensing to mega-M&amp;A.</w:t>
      </w:r>
    </w:p>
    <w:p>
      <w:pPr>
        <w:pStyle w:val="Heading2"/>
        <w:spacing w:before="240" w:after="120"/>
      </w:pPr>
      <w:r>
        <w:t xml:space="preserve">4. Strategic BD Priorities in Neuroscience</w:t>
      </w:r>
    </w:p>
    <w:p>
      <w:pPr>
        <w:spacing w:after="240"/>
      </w:pPr>
      <w:r>
        <w:t xml:space="preserve">CRITICAL CONTEXT: Pfizer exited neuroscience discovery research in October 2025. Fairbanks' neuroscience BD approach reflects this strategic shift:</w:t>
      </w:r>
    </w:p>
    <w:p>
      <w:pPr>
        <w:pStyle w:val="Heading3"/>
        <w:spacing w:before="120" w:after="120"/>
      </w:pPr>
      <w:r>
        <w:t xml:space="preserve">Legacy Asset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Manages remaining late-stage neuroscience assets through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Evaluates out-licensing opportunities for deprioritized neuro programs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Monitors competitive landscape for potential value realization</w:t>
      </w:r>
    </w:p>
    <w:p>
      <w:pPr>
        <w:pStyle w:val="Heading3"/>
        <w:spacing w:before="120" w:after="120"/>
      </w:pPr>
      <w:r>
        <w:t xml:space="preserve">Selective External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Will consider in-licensing only for late-stage, de-risked neuroscience assets with clear commercial 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bar: Phase 2b+ data required with compelling effect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areas if any: pain, neuropsychiatry (large market, primary care fit)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 pursuing early-stage neuroscience platforms or discovery-stage partnerships</w:t>
      </w:r>
    </w:p>
    <w:p>
      <w:pPr>
        <w:pStyle w:val="Heading3"/>
        <w:spacing w:before="120" w:after="120"/>
      </w:pPr>
      <w:r>
        <w:t xml:space="preserve">Platform Technology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to neuroscience-relevant platforms ONLY if they have clear cross-therapeutic utility (e.g., delivery technologies applicable to oncology AND CNS)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Will evaluate BBB-crossing technologies primarily for oncology brain metastasis applications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 interested in CNS-only platform plays</w:t>
      </w:r>
    </w:p>
    <w:p>
      <w:pPr>
        <w:pStyle w:val="Heading3"/>
        <w:spacing w:before="120" w:after="120"/>
      </w:pPr>
      <w:r>
        <w:t xml:space="preserve">Pragmatic Opportunism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transformative late-stage neuroscience asset emerges (e.g., novel Alzheimer's therapy with disease modification data), Pfizer retains the infrastructure and commercial capability to re-enter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But the default position is: neuroscience is not a strategic BD priority</w:t>
      </w:r>
    </w:p>
    <w:p>
      <w:pPr>
        <w:pStyle w:val="Heading2"/>
        <w:spacing w:before="240" w:after="120"/>
      </w:pPr>
      <w:r>
        <w:t xml:space="preserve">5. Decision-Making Framework</w:t>
      </w:r>
    </w:p>
    <w:p>
      <w:pPr>
        <w:spacing w:after="240"/>
      </w:pPr>
      <w:r>
        <w:t xml:space="preserve">When evaluating a new deal or partnership:</w:t>
      </w:r>
    </w:p>
    <w:p>
      <w:pPr>
        <w:pStyle w:val="Heading3"/>
        <w:spacing w:before="120" w:after="120"/>
      </w:pPr>
      <w:r>
        <w:t xml:space="preserve">Commercial Lens (First Filter)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 sales &gt; $2B? (Pfizer's scale demands large opportunities)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reimbursement pathway clear?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differentiation durable for 5+ years?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fit with existing portfolio and commercial infrastructure?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IP runway sufficient (10+ years of exclusivity)?</w:t>
      </w:r>
    </w:p>
    <w:p>
      <w:pPr>
        <w:pStyle w:val="Heading3"/>
        <w:spacing w:before="120" w:after="120"/>
      </w:pPr>
      <w:r>
        <w:t xml:space="preserve">Scientific/Clinical Lens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of development? (Strong preference for Phase 2+ with clinical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genetic validation?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Biomarker strategy enabling patient selection?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profile manageable at scale?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Probability of technical success &gt; industry average for stage?</w:t>
      </w:r>
    </w:p>
    <w:p>
      <w:pPr>
        <w:pStyle w:val="Heading3"/>
        <w:spacing w:before="120" w:after="120"/>
      </w:pPr>
      <w:r>
        <w:t xml:space="preserve">Financial Lens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Risk-adjusted NPV positive under conservative assumptions?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structure capital-efficient? (Prefer milestone-heavy with limited upfront)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complexity manageable?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Synergy realization timeline &lt; 24 months?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Portfolio-level ROI optimization?</w:t>
      </w:r>
    </w:p>
    <w:p>
      <w:pPr>
        <w:pStyle w:val="Heading3"/>
        <w:spacing w:before="120" w:after="120"/>
      </w:pPr>
      <w:r>
        <w:t xml:space="preserve">Execution Lens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to next value inflection point?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 pathway clarity?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Manufacturing scalability?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requirements and cultural compatibility?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Competitive timeline pressure?</w:t>
      </w:r>
    </w:p>
    <w:p>
      <w:pPr>
        <w:pStyle w:val="Heading2"/>
        <w:spacing w:before="240" w:after="120"/>
      </w:pPr>
      <w:r>
        <w:t xml:space="preserve">6. View on Deal Structures &amp; Partnerships</w:t>
      </w:r>
    </w:p>
    <w:p>
      <w:pPr>
        <w:spacing w:after="240"/>
      </w:pPr>
      <w:r>
        <w:t xml:space="preserve">Fairbanks has strong preferences shaped by Pfizer's scale and recent deal history:</w:t>
      </w:r>
    </w:p>
    <w:p>
      <w:pPr>
        <w:pStyle w:val="Heading3"/>
        <w:spacing w:before="120" w:after="120"/>
      </w:pPr>
      <w:r>
        <w:t xml:space="preserve">Preferred Structures: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Large-scale M&amp;A for validated, commercial-stage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Option-to-acquire with clear clinical milestones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Co-development with 50/50 or 60/40 economics and Pfizer opt-in rights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licenses with therapeutic area exclusivity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Pfizer Ventures equity positions as relationship seeds</w:t>
      </w:r>
    </w:p>
    <w:p>
      <w:pPr>
        <w:pStyle w:val="Heading3"/>
        <w:spacing w:before="120" w:after="120"/>
      </w:pPr>
      <w:r>
        <w:t xml:space="preserve">Structures He Avoids: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Small, fragmented deals that don't move the needle at Pfizer's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Pure research collaborations without asset clarity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Deals where partner retains ex-US rights for major markets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 multi-party arrangements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Overly academic partnerships without commercial framing</w:t>
      </w:r>
    </w:p>
    <w:p>
      <w:pPr>
        <w:pStyle w:val="Heading3"/>
        <w:spacing w:before="120" w:after="120"/>
      </w:pPr>
      <w:r>
        <w:t xml:space="preserve">Key Deal Terms He Prioritizes: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rights (or at minimum US + EU + Japan)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opt-in/opt-out decision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Manufacturing control or technology transfer rights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exclusivity provisions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Integration-friendly governance structures</w:t>
      </w:r>
    </w:p>
    <w:p>
      <w:pPr>
        <w:pStyle w:val="Heading3"/>
        <w:spacing w:before="120" w:after="120"/>
      </w:pPr>
      <w:r>
        <w:t xml:space="preserve">Recent Deal Precedents Shaping His Thinking: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Seagen ($43B) — validated the mega-M&amp;A model for platform +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Flagship Innovation Supply Chain — new model for embedded early partnerships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Multiple oncology licensing deals in $500M-$2B range</w:t>
      </w:r>
    </w:p>
    <w:p>
      <w:pPr>
        <w:pStyle w:val="Heading2"/>
        <w:spacing w:before="240" w:after="120"/>
      </w:pPr>
      <w:r>
        <w:t xml:space="preserve">7. Pain Points &amp; Frustrations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Post-Seagen revenue cliff pressure creating urgency for pipeline renewal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Patent expiration timeline on legacy blockbusters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Biotech valuation expectations often disconnected from risk-adjusted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 due diligence processes when cross-functional alignment is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complexity consuming BD bandwidth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Competition from other large pharma for the same mid/late-stage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Academic-minded biotechs that cannot articulate commercial thesis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Deals that are too small to matter at Pfizer's scale</w:t>
      </w:r>
    </w:p>
    <w:p>
      <w:pPr>
        <w:pStyle w:val="Heading2"/>
        <w:spacing w:before="240" w:after="120"/>
      </w:pPr>
      <w:r>
        <w:t xml:space="preserve">8. What Gets Him Excited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Clinical-stage assets with differentiated data in large markets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technologies with multi-therapeutic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Companies where Pfizer's commercial infrastructure creates unique synergy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Assets addressing Pfizer's specific portfolio gaps (especially cardiometabolic, immunology)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Teams that understand Pfizer's integration model and can partner effectively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Novel delivery technologies enabling new modalities at scale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Late-stage opportunities where speed-to-market is a competitive advantage</w:t>
      </w:r>
    </w:p>
    <w:p>
      <w:pPr>
        <w:spacing w:after="120"/>
      </w:pPr>
      <w:r>
        <w:t xml:space="preserve">He is intrigued by: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AI-driven drug discovery platforms that have generated clinical-stage assets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mRNA therapeutics beyond vaccines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Novel biologics with best-in-class potential in high-prevalence indications</w:t>
      </w:r>
    </w:p>
    <w:p>
      <w:pPr>
        <w:spacing w:after="240"/>
      </w:pPr>
      <w:r>
        <w:t xml:space="preserve">But only if the commercial opportunity justifies Pfizer-scale investment.</w:t>
      </w:r>
    </w:p>
    <w:p>
      <w:pPr>
        <w:pStyle w:val="Heading2"/>
        <w:spacing w:before="240" w:after="120"/>
      </w:pPr>
      <w:r>
        <w:t xml:space="preserve">9. How He Engages with Biotech</w:t>
      </w:r>
    </w:p>
    <w:p>
      <w:pPr>
        <w:pStyle w:val="Heading3"/>
        <w:spacing w:before="120" w:after="120"/>
      </w:pPr>
      <w:r>
        <w:t xml:space="preserve">First Meeting: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Focuses on commercial thesis and market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Probes competitive differentiation and durability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Assesses management team's deal sophistication</w:t>
      </w:r>
    </w:p>
    <w:p>
      <w:pPr>
        <w:pStyle w:val="Heading3"/>
        <w:spacing w:before="120" w:after="120"/>
      </w:pPr>
      <w:r>
        <w:t xml:space="preserve">Second Meeting: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Deep-dive on clinical data and development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Integrates Pfizer therapeutic area experts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Preliminary valuation and deal structure discussion</w:t>
      </w:r>
    </w:p>
    <w:p>
      <w:pPr>
        <w:pStyle w:val="Heading3"/>
        <w:spacing w:before="120" w:after="120"/>
      </w:pPr>
      <w:r>
        <w:t xml:space="preserve">Third Meeting: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modeling and term sheet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planning and governance discussion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Executive sponsor alignment</w:t>
      </w:r>
    </w:p>
    <w:p>
      <w:pPr>
        <w:spacing w:after="120"/>
      </w:pPr>
      <w:r>
        <w:t xml:space="preserve">He disengages if: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opportunity is subscale for Pfizer (peak sales &lt; $1B)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data don't support differentiation claims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company is pre-clinical without clear asset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terms are rigid with no room for creative structuring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 team cannot articulate a global commercial strategy</w:t>
      </w:r>
    </w:p>
    <w:p>
      <w:pPr>
        <w:pStyle w:val="Heading2"/>
        <w:spacing w:before="240" w:after="120"/>
      </w:pPr>
      <w:r>
        <w:t xml:space="preserve">10. Communication &amp; Negotiation Style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and transaction-oriented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Financially sophisticated with deep modeling capability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Moves fast when interested, goes silent when not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Prefers data over narrative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Low tolerance for academic presentations in BD meetings</w:t>
      </w:r>
    </w:p>
    <w:p>
      <w:pPr>
        <w:spacing w:after="120"/>
      </w:pPr>
      <w:r>
        <w:t xml:space="preserve">Prefers: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Peak sales models with transparent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landscape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development timeline with decision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Risk-adjusted deal economics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One-page deal summaries before detailed decks</w:t>
      </w:r>
    </w:p>
    <w:p>
      <w:pPr>
        <w:spacing w:after="120"/>
      </w:pPr>
      <w:r>
        <w:t xml:space="preserve">Negotiation approach: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Opens with framework, not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Pfizer's scale as leverage (commercial reach, manufacturing, regulatory)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Prefers milestone-heavy structures to de-risk upfront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Will walk away cleanly if terms don't meet threshold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Values speed—will pay a modest premium for exclusivity and fast close</w:t>
      </w:r>
    </w:p>
    <w:p>
      <w:pPr>
        <w:pStyle w:val="Heading2"/>
        <w:spacing w:before="240" w:after="120"/>
      </w:pPr>
      <w:r>
        <w:t xml:space="preserve">11. Metrics He Tracks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deals closed per year and aggregate deal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Risk-adjusted NPV of acquired/in-licensed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from first meeting to signed term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success rate (milestone achievement post-deal)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Portfolio gap closure rate by therapeutic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pipeline contribution to projected revenue (target: 40%+)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efficiency: revenue generated per BD dollar deployed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Competitive win rate on contested assets</w:t>
      </w:r>
    </w:p>
    <w:p>
      <w:pPr>
        <w:pStyle w:val="Heading2"/>
        <w:spacing w:before="240" w:after="120"/>
      </w:pPr>
      <w:r>
        <w:t xml:space="preserve">12. Long-Term BD Vision</w:t>
      </w:r>
    </w:p>
    <w:p>
      <w:pPr>
        <w:spacing w:after="240"/>
      </w:pPr>
      <w:r>
        <w:t xml:space="preserve">Fairbanks' ambition: "Make Pfizer's BD engine the most feared and respected in pharma—fast, disciplined, and always at the table for transformative assets."</w:t>
      </w:r>
    </w:p>
    <w:p>
      <w:pPr>
        <w:spacing w:after="120"/>
      </w:pPr>
      <w:r>
        <w:t xml:space="preserve">He envisions: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BD as the primary pipeline renewal engine, not a supplement to internal R&amp;D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$25B+ in risk-adjusted revenue from externally sourced assets by 2030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standing Innovation Supply Chain of 10+ embedded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Pfizer Ventures as a strategic intelligence and relationship-building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BD presence with regional deal teams in US, EU, and Asia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AI-enabled competitive intelligence and deal origination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Reputation as the partner of choice for companies seeking global scale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2026-02-18T13:47:26.234Z</dcterms:created>
  <dcterms:modified xsi:type="dcterms:W3CDTF">2026-02-18T13:47:26.234Z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