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64016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Persona: Dr. Priya Natarajan, PhD</w:t>
      </w:r>
    </w:p>
    <w:p w14:paraId="4815677B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9256A">
        <w:rPr>
          <w:rFonts w:ascii="Times New Roman" w:eastAsia="Times New Roman" w:hAnsi="Times New Roman" w:cs="Times New Roman"/>
          <w:kern w:val="0"/>
          <w14:ligatures w14:val="none"/>
        </w:rPr>
        <w:t xml:space="preserve"> EVP, Head of Research &amp; Early Development</w:t>
      </w:r>
      <w:r w:rsidRPr="00892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89256A">
        <w:rPr>
          <w:rFonts w:ascii="Times New Roman" w:eastAsia="Times New Roman" w:hAnsi="Times New Roman" w:cs="Times New Roman"/>
          <w:kern w:val="0"/>
          <w14:ligatures w14:val="none"/>
        </w:rPr>
        <w:t xml:space="preserve"> Cambridge, MA</w:t>
      </w:r>
      <w:r w:rsidRPr="00892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Experience:</w:t>
      </w:r>
      <w:r w:rsidRPr="0089256A">
        <w:rPr>
          <w:rFonts w:ascii="Times New Roman" w:eastAsia="Times New Roman" w:hAnsi="Times New Roman" w:cs="Times New Roman"/>
          <w:kern w:val="0"/>
          <w14:ligatures w14:val="none"/>
        </w:rPr>
        <w:t xml:space="preserve"> 20+ years in RNA biology, genetic medicine, and translational pharmacology</w:t>
      </w:r>
      <w:r w:rsidRPr="00892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To:</w:t>
      </w:r>
      <w:r w:rsidRPr="0089256A">
        <w:rPr>
          <w:rFonts w:ascii="Times New Roman" w:eastAsia="Times New Roman" w:hAnsi="Times New Roman" w:cs="Times New Roman"/>
          <w:kern w:val="0"/>
          <w14:ligatures w14:val="none"/>
        </w:rPr>
        <w:t xml:space="preserve"> President &amp; CEO</w:t>
      </w:r>
      <w:r w:rsidRPr="008925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2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 of Control:</w:t>
      </w:r>
      <w:r w:rsidRPr="0089256A">
        <w:rPr>
          <w:rFonts w:ascii="Times New Roman" w:eastAsia="Times New Roman" w:hAnsi="Times New Roman" w:cs="Times New Roman"/>
          <w:kern w:val="0"/>
          <w14:ligatures w14:val="none"/>
        </w:rPr>
        <w:t xml:space="preserve"> ~275 FTEs (RNA Discovery, Target Biology, Delivery Technologies, Translational Medicine, Clinical Pharmacology)</w:t>
      </w:r>
    </w:p>
    <w:p w14:paraId="782FAB34" w14:textId="77777777" w:rsidR="0089256A" w:rsidRPr="0089256A" w:rsidRDefault="00984D1E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1E">
        <w:rPr>
          <w:rFonts w:ascii="Times New Roman" w:eastAsia="Times New Roman" w:hAnsi="Times New Roman" w:cs="Times New Roman"/>
          <w:noProof/>
          <w:kern w:val="0"/>
        </w:rPr>
        <w:pict w14:anchorId="2BA3BA0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7C7DBB5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Core Identity &amp; Leadership DNA</w:t>
      </w:r>
    </w:p>
    <w:p w14:paraId="2944854C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Dr. Natarajan is a platform-native executive whose career has been built around RNA therapeutics. She reflects Alnylam’s defining characteristics:</w:t>
      </w:r>
    </w:p>
    <w:p w14:paraId="44BA8695" w14:textId="77777777" w:rsidR="0089256A" w:rsidRPr="0089256A" w:rsidRDefault="0089256A" w:rsidP="00892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Genetic medicine conviction</w:t>
      </w:r>
    </w:p>
    <w:p w14:paraId="42C9D107" w14:textId="77777777" w:rsidR="0089256A" w:rsidRPr="0089256A" w:rsidRDefault="0089256A" w:rsidP="00892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Modality-first thinking (RNAi)</w:t>
      </w:r>
    </w:p>
    <w:p w14:paraId="5364DDA5" w14:textId="77777777" w:rsidR="0089256A" w:rsidRPr="0089256A" w:rsidRDefault="0089256A" w:rsidP="00892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 target selection</w:t>
      </w:r>
    </w:p>
    <w:p w14:paraId="5F97F68E" w14:textId="77777777" w:rsidR="0089256A" w:rsidRPr="0089256A" w:rsidRDefault="0089256A" w:rsidP="00892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patience</w:t>
      </w:r>
    </w:p>
    <w:p w14:paraId="63DA89D7" w14:textId="77777777" w:rsidR="0089256A" w:rsidRPr="0089256A" w:rsidRDefault="0089256A" w:rsidP="00892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scalability</w:t>
      </w:r>
    </w:p>
    <w:p w14:paraId="51E6D84B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She believes:</w:t>
      </w:r>
    </w:p>
    <w:p w14:paraId="20049143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“If the gene drives the disease, RNAi can silence it.”</w:t>
      </w:r>
    </w:p>
    <w:p w14:paraId="6A456CE9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 xml:space="preserve">Her mindset is less about broad therapeutic expansion and more about </w:t>
      </w:r>
      <w:r w:rsidRPr="00892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leveraging RNA interference (RNAi) as a precision modality across genetically validated targets.</w:t>
      </w:r>
    </w:p>
    <w:p w14:paraId="047021FB" w14:textId="77777777" w:rsidR="0089256A" w:rsidRPr="0089256A" w:rsidRDefault="00984D1E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1E">
        <w:rPr>
          <w:rFonts w:ascii="Times New Roman" w:eastAsia="Times New Roman" w:hAnsi="Times New Roman" w:cs="Times New Roman"/>
          <w:noProof/>
          <w:kern w:val="0"/>
        </w:rPr>
        <w:pict w14:anchorId="3BBB7D3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CD44CE9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Alignment with Alnylam Philosophy</w:t>
      </w:r>
    </w:p>
    <w:p w14:paraId="57975F5C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At Alnylam Pharmaceuticals, Natarajan operates within a deeply modality-centric framework:</w:t>
      </w:r>
    </w:p>
    <w:p w14:paraId="653228A8" w14:textId="77777777" w:rsidR="0089256A" w:rsidRPr="0089256A" w:rsidRDefault="0089256A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pict w14:anchorId="5BB74069">
          <v:rect id="_x0000_i1027" style="width:0;height:1.5pt" o:hralign="center" o:hrstd="t" o:hr="t" fillcolor="#a0a0a0" stroked="f"/>
        </w:pict>
      </w:r>
    </w:p>
    <w:p w14:paraId="504EA5DF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RNAi as Core Platform</w:t>
      </w:r>
    </w:p>
    <w:p w14:paraId="743E4AFA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Alnylam is built around:</w:t>
      </w:r>
    </w:p>
    <w:p w14:paraId="14CF5966" w14:textId="77777777" w:rsidR="0089256A" w:rsidRPr="0089256A" w:rsidRDefault="0089256A" w:rsidP="0089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Small interfering RNA (siRNA) therapeutics</w:t>
      </w:r>
    </w:p>
    <w:p w14:paraId="71A56C34" w14:textId="77777777" w:rsidR="0089256A" w:rsidRPr="0089256A" w:rsidRDefault="0089256A" w:rsidP="0089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Gene silencing mechanisms</w:t>
      </w:r>
    </w:p>
    <w:p w14:paraId="7234F209" w14:textId="77777777" w:rsidR="0089256A" w:rsidRPr="0089256A" w:rsidRDefault="0089256A" w:rsidP="0089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Precision molecular targeting</w:t>
      </w:r>
    </w:p>
    <w:p w14:paraId="743639BA" w14:textId="77777777" w:rsidR="0089256A" w:rsidRPr="0089256A" w:rsidRDefault="0089256A" w:rsidP="00892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Delivery innovation (e.g., GalNAc conjugates, advanced LNPs)</w:t>
      </w:r>
    </w:p>
    <w:p w14:paraId="5F519B84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She prioritizes:</w:t>
      </w:r>
    </w:p>
    <w:p w14:paraId="58C7F609" w14:textId="77777777" w:rsidR="0089256A" w:rsidRPr="0089256A" w:rsidRDefault="0089256A" w:rsidP="008925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Targets amenable to knockdown</w:t>
      </w:r>
    </w:p>
    <w:p w14:paraId="0A36A45E" w14:textId="77777777" w:rsidR="0089256A" w:rsidRPr="0089256A" w:rsidRDefault="0089256A" w:rsidP="008925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Strong genotype–phenotype relationships</w:t>
      </w:r>
    </w:p>
    <w:p w14:paraId="6D4C6F9B" w14:textId="77777777" w:rsidR="0089256A" w:rsidRPr="0089256A" w:rsidRDefault="0089256A" w:rsidP="008925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Clear dose–response biology</w:t>
      </w:r>
    </w:p>
    <w:p w14:paraId="286275C3" w14:textId="77777777" w:rsidR="0089256A" w:rsidRPr="0089256A" w:rsidRDefault="0089256A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pict w14:anchorId="202EDD54">
          <v:rect id="_x0000_i1028" style="width:0;height:1.5pt" o:hralign="center" o:hrstd="t" o:hr="t" fillcolor="#a0a0a0" stroked="f"/>
        </w:pict>
      </w:r>
    </w:p>
    <w:p w14:paraId="644C7542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Genetically Validated Disease</w:t>
      </w:r>
    </w:p>
    <w:p w14:paraId="643B4063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Alnylam’s philosophy emphasizes:</w:t>
      </w:r>
    </w:p>
    <w:p w14:paraId="502206E2" w14:textId="77777777" w:rsidR="0089256A" w:rsidRPr="0089256A" w:rsidRDefault="0089256A" w:rsidP="00892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Rare monogenic diseases</w:t>
      </w:r>
    </w:p>
    <w:p w14:paraId="446EDBAD" w14:textId="77777777" w:rsidR="0089256A" w:rsidRPr="0089256A" w:rsidRDefault="0089256A" w:rsidP="00892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Well-defined pathogenic gene expression</w:t>
      </w:r>
    </w:p>
    <w:p w14:paraId="6BEE51F0" w14:textId="77777777" w:rsidR="0089256A" w:rsidRPr="0089256A" w:rsidRDefault="0089256A" w:rsidP="00892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Measurable protein suppression</w:t>
      </w:r>
    </w:p>
    <w:p w14:paraId="30CA5914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She requires:</w:t>
      </w:r>
    </w:p>
    <w:p w14:paraId="5DC81587" w14:textId="77777777" w:rsidR="0089256A" w:rsidRPr="0089256A" w:rsidRDefault="0089256A" w:rsidP="008925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Clear genetic causality</w:t>
      </w:r>
    </w:p>
    <w:p w14:paraId="5FEEBDE6" w14:textId="77777777" w:rsidR="0089256A" w:rsidRPr="0089256A" w:rsidRDefault="0089256A" w:rsidP="008925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Strong translational bridge</w:t>
      </w:r>
    </w:p>
    <w:p w14:paraId="64F802EF" w14:textId="77777777" w:rsidR="0089256A" w:rsidRPr="0089256A" w:rsidRDefault="0089256A" w:rsidP="008925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Biomarker-based pharmacodynamic readouts</w:t>
      </w:r>
    </w:p>
    <w:p w14:paraId="1995779F" w14:textId="77777777" w:rsidR="0089256A" w:rsidRPr="0089256A" w:rsidRDefault="0089256A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pict w14:anchorId="40EDA98C">
          <v:rect id="_x0000_i1029" style="width:0;height:1.5pt" o:hralign="center" o:hrstd="t" o:hr="t" fillcolor="#a0a0a0" stroked="f"/>
        </w:pict>
      </w:r>
    </w:p>
    <w:p w14:paraId="161ADEB7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Platform Scalability</w:t>
      </w:r>
    </w:p>
    <w:p w14:paraId="1FDEBEB1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Unlike asset-by-asset companies, she evaluates targets through:</w:t>
      </w:r>
    </w:p>
    <w:p w14:paraId="3F464639" w14:textId="77777777" w:rsidR="0089256A" w:rsidRPr="0089256A" w:rsidRDefault="0089256A" w:rsidP="008925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Platform compatibility</w:t>
      </w:r>
    </w:p>
    <w:p w14:paraId="0600BBD9" w14:textId="77777777" w:rsidR="0089256A" w:rsidRPr="0089256A" w:rsidRDefault="0089256A" w:rsidP="008925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Delivery feasibility</w:t>
      </w:r>
    </w:p>
    <w:p w14:paraId="65331DB7" w14:textId="77777777" w:rsidR="0089256A" w:rsidRPr="0089256A" w:rsidRDefault="0089256A" w:rsidP="008925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Re-dosing durability</w:t>
      </w:r>
    </w:p>
    <w:p w14:paraId="7507E3EC" w14:textId="77777777" w:rsidR="0089256A" w:rsidRPr="0089256A" w:rsidRDefault="0089256A" w:rsidP="008925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Manufacturing scalability</w:t>
      </w:r>
    </w:p>
    <w:p w14:paraId="4ABFCAE5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She often asks:</w:t>
      </w:r>
    </w:p>
    <w:p w14:paraId="3AD79E44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“Can this fit cleanly into the RNAi engine?”</w:t>
      </w:r>
    </w:p>
    <w:p w14:paraId="7CDF5FD4" w14:textId="77777777" w:rsidR="0089256A" w:rsidRPr="0089256A" w:rsidRDefault="0089256A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pict w14:anchorId="788E2504">
          <v:rect id="_x0000_i1030" style="width:0;height:1.5pt" o:hralign="center" o:hrstd="t" o:hr="t" fillcolor="#a0a0a0" stroked="f"/>
        </w:pict>
      </w:r>
    </w:p>
    <w:p w14:paraId="206C5303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Disciplined Expansion Beyond Rare Disease</w:t>
      </w:r>
    </w:p>
    <w:p w14:paraId="76B94B77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Alnylam has expanded toward:</w:t>
      </w:r>
    </w:p>
    <w:p w14:paraId="3D9108F8" w14:textId="77777777" w:rsidR="0089256A" w:rsidRPr="0089256A" w:rsidRDefault="0089256A" w:rsidP="00892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Cardiometabolic</w:t>
      </w:r>
    </w:p>
    <w:p w14:paraId="0011EBCA" w14:textId="77777777" w:rsidR="0089256A" w:rsidRPr="0089256A" w:rsidRDefault="0089256A" w:rsidP="00892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CNS (where delivery allows)</w:t>
      </w:r>
    </w:p>
    <w:p w14:paraId="4A8F41C1" w14:textId="77777777" w:rsidR="0089256A" w:rsidRPr="0089256A" w:rsidRDefault="0089256A" w:rsidP="00892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Broader genetically supported indications</w:t>
      </w:r>
    </w:p>
    <w:p w14:paraId="74DA6ABE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Natarajan supports expansion only when:</w:t>
      </w:r>
    </w:p>
    <w:p w14:paraId="7A3DFC7F" w14:textId="77777777" w:rsidR="0089256A" w:rsidRPr="0089256A" w:rsidRDefault="0089256A" w:rsidP="008925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Delivery challenges are solved</w:t>
      </w:r>
    </w:p>
    <w:p w14:paraId="370C8F8B" w14:textId="77777777" w:rsidR="0089256A" w:rsidRPr="0089256A" w:rsidRDefault="0089256A" w:rsidP="008925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Knockdown biology is well understood</w:t>
      </w:r>
    </w:p>
    <w:p w14:paraId="77EBA7A0" w14:textId="77777777" w:rsidR="0089256A" w:rsidRPr="0089256A" w:rsidRDefault="0089256A" w:rsidP="008925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Competitive landscape is manageable</w:t>
      </w:r>
    </w:p>
    <w:p w14:paraId="268AA70D" w14:textId="77777777" w:rsidR="0089256A" w:rsidRPr="0089256A" w:rsidRDefault="0089256A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pict w14:anchorId="002EFD66">
          <v:rect id="_x0000_i1031" style="width:0;height:1.5pt" o:hralign="center" o:hrstd="t" o:hr="t" fillcolor="#a0a0a0" stroked="f"/>
        </w:pict>
      </w:r>
    </w:p>
    <w:p w14:paraId="30377637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Scientific Background</w:t>
      </w:r>
    </w:p>
    <w:p w14:paraId="5ABEE350" w14:textId="77777777" w:rsidR="0089256A" w:rsidRPr="0089256A" w:rsidRDefault="0089256A" w:rsidP="00892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PhD in RNA Biology</w:t>
      </w:r>
    </w:p>
    <w:p w14:paraId="68234AE7" w14:textId="77777777" w:rsidR="0089256A" w:rsidRPr="0089256A" w:rsidRDefault="0089256A" w:rsidP="00892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Early contributor to RNA interference translational research</w:t>
      </w:r>
    </w:p>
    <w:p w14:paraId="2CFD6DC4" w14:textId="77777777" w:rsidR="0089256A" w:rsidRPr="0089256A" w:rsidRDefault="0089256A" w:rsidP="00892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Led target discovery for multiple siRNA programs</w:t>
      </w:r>
    </w:p>
    <w:p w14:paraId="1168B69F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Deep expertise in:</w:t>
      </w:r>
    </w:p>
    <w:p w14:paraId="7932B0FF" w14:textId="77777777" w:rsidR="0089256A" w:rsidRPr="0089256A" w:rsidRDefault="0089256A" w:rsidP="00892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RNAi mechanism of action</w:t>
      </w:r>
    </w:p>
    <w:p w14:paraId="28BD3288" w14:textId="77777777" w:rsidR="0089256A" w:rsidRPr="0089256A" w:rsidRDefault="0089256A" w:rsidP="00892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Delivery chemistry</w:t>
      </w:r>
    </w:p>
    <w:p w14:paraId="7D4843AD" w14:textId="77777777" w:rsidR="0089256A" w:rsidRPr="0089256A" w:rsidRDefault="0089256A" w:rsidP="00892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Off-target risk mitigation</w:t>
      </w:r>
    </w:p>
    <w:p w14:paraId="58592D7F" w14:textId="77777777" w:rsidR="0089256A" w:rsidRPr="0089256A" w:rsidRDefault="0089256A" w:rsidP="00892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Biomarker development</w:t>
      </w:r>
    </w:p>
    <w:p w14:paraId="70333F52" w14:textId="77777777" w:rsidR="0089256A" w:rsidRPr="0089256A" w:rsidRDefault="0089256A" w:rsidP="00892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Translational PK/PD modeling</w:t>
      </w:r>
    </w:p>
    <w:p w14:paraId="791112FD" w14:textId="77777777" w:rsidR="0089256A" w:rsidRPr="0089256A" w:rsidRDefault="0089256A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pict w14:anchorId="25BBD798">
          <v:rect id="_x0000_i1032" style="width:0;height:1.5pt" o:hralign="center" o:hrstd="t" o:hr="t" fillcolor="#a0a0a0" stroked="f"/>
        </w:pict>
      </w:r>
    </w:p>
    <w:p w14:paraId="1F126AD3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Strategic Priorities (Including CNS)</w:t>
      </w:r>
    </w:p>
    <w:p w14:paraId="2098DE52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Expand RNAi into Neurologic Genetic Disorders</w:t>
      </w:r>
    </w:p>
    <w:p w14:paraId="2395B613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She prioritizes:</w:t>
      </w:r>
    </w:p>
    <w:p w14:paraId="4176B8EA" w14:textId="77777777" w:rsidR="0089256A" w:rsidRPr="0089256A" w:rsidRDefault="0089256A" w:rsidP="008925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Monogenic neurodegenerative diseases</w:t>
      </w:r>
    </w:p>
    <w:p w14:paraId="02A0C3D3" w14:textId="77777777" w:rsidR="0089256A" w:rsidRPr="0089256A" w:rsidRDefault="0089256A" w:rsidP="008925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Gain-of-function mutations</w:t>
      </w:r>
    </w:p>
    <w:p w14:paraId="6C852ED2" w14:textId="77777777" w:rsidR="0089256A" w:rsidRPr="0089256A" w:rsidRDefault="0089256A" w:rsidP="008925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Toxic protein accumulation disorders</w:t>
      </w:r>
    </w:p>
    <w:p w14:paraId="4C621ED5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But only where delivery is feasible.</w:t>
      </w:r>
    </w:p>
    <w:p w14:paraId="6B45BB66" w14:textId="77777777" w:rsidR="0089256A" w:rsidRPr="0089256A" w:rsidRDefault="0089256A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pict w14:anchorId="324ABC23">
          <v:rect id="_x0000_i1033" style="width:0;height:1.5pt" o:hralign="center" o:hrstd="t" o:hr="t" fillcolor="#a0a0a0" stroked="f"/>
        </w:pict>
      </w:r>
    </w:p>
    <w:p w14:paraId="6D333914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Improve CNS Delivery Platforms</w:t>
      </w:r>
    </w:p>
    <w:p w14:paraId="6121AC39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She invests in:</w:t>
      </w:r>
    </w:p>
    <w:p w14:paraId="63D8FF91" w14:textId="77777777" w:rsidR="0089256A" w:rsidRPr="0089256A" w:rsidRDefault="0089256A" w:rsidP="008925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Novel delivery chemistries</w:t>
      </w:r>
    </w:p>
    <w:p w14:paraId="16D136FE" w14:textId="77777777" w:rsidR="0089256A" w:rsidRPr="0089256A" w:rsidRDefault="0089256A" w:rsidP="008925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Intrathecal or targeted approaches</w:t>
      </w:r>
    </w:p>
    <w:p w14:paraId="73377587" w14:textId="77777777" w:rsidR="0089256A" w:rsidRPr="0089256A" w:rsidRDefault="0089256A" w:rsidP="008925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Improved tissue penetration</w:t>
      </w:r>
    </w:p>
    <w:p w14:paraId="31A4B248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Delivery feasibility is a gating factor.</w:t>
      </w:r>
    </w:p>
    <w:p w14:paraId="16583FC3" w14:textId="77777777" w:rsidR="0089256A" w:rsidRPr="0089256A" w:rsidRDefault="0089256A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pict w14:anchorId="78204B60">
          <v:rect id="_x0000_i1034" style="width:0;height:1.5pt" o:hralign="center" o:hrstd="t" o:hr="t" fillcolor="#a0a0a0" stroked="f"/>
        </w:pict>
      </w:r>
    </w:p>
    <w:p w14:paraId="5292D9E1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Maximize Gene Silencing Precision</w:t>
      </w:r>
    </w:p>
    <w:p w14:paraId="66BD75DC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She requires:</w:t>
      </w:r>
    </w:p>
    <w:p w14:paraId="0D5F730F" w14:textId="77777777" w:rsidR="0089256A" w:rsidRPr="0089256A" w:rsidRDefault="0089256A" w:rsidP="00892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Specificity</w:t>
      </w:r>
    </w:p>
    <w:p w14:paraId="21CDBCC6" w14:textId="77777777" w:rsidR="0089256A" w:rsidRPr="0089256A" w:rsidRDefault="0089256A" w:rsidP="00892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Predictable knockdown kinetics</w:t>
      </w:r>
    </w:p>
    <w:p w14:paraId="6CCFC5DA" w14:textId="77777777" w:rsidR="0089256A" w:rsidRPr="0089256A" w:rsidRDefault="0089256A" w:rsidP="00892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Durable target engagement</w:t>
      </w:r>
    </w:p>
    <w:p w14:paraId="79E638CC" w14:textId="77777777" w:rsidR="0089256A" w:rsidRPr="0089256A" w:rsidRDefault="0089256A" w:rsidP="00892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Minimal off-target effects</w:t>
      </w:r>
    </w:p>
    <w:p w14:paraId="101DED03" w14:textId="77777777" w:rsidR="0089256A" w:rsidRPr="0089256A" w:rsidRDefault="0089256A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pict w14:anchorId="09F898B7">
          <v:rect id="_x0000_i1035" style="width:0;height:1.5pt" o:hralign="center" o:hrstd="t" o:hr="t" fillcolor="#a0a0a0" stroked="f"/>
        </w:pict>
      </w:r>
    </w:p>
    <w:p w14:paraId="671A4C27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Decision-Making Framework</w:t>
      </w:r>
    </w:p>
    <w:p w14:paraId="76E8599E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When evaluating new programs or partnerships:</w:t>
      </w:r>
    </w:p>
    <w:p w14:paraId="4AC3005A" w14:textId="77777777" w:rsidR="0089256A" w:rsidRPr="0089256A" w:rsidRDefault="0089256A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pict w14:anchorId="21075B1B">
          <v:rect id="_x0000_i1036" style="width:0;height:1.5pt" o:hralign="center" o:hrstd="t" o:hr="t" fillcolor="#a0a0a0" stroked="f"/>
        </w:pict>
      </w:r>
    </w:p>
    <w:p w14:paraId="35F16393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Genetic Validation</w:t>
      </w:r>
    </w:p>
    <w:p w14:paraId="0885C0F1" w14:textId="77777777" w:rsidR="0089256A" w:rsidRPr="0089256A" w:rsidRDefault="0089256A" w:rsidP="008925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Is the gene causative?</w:t>
      </w:r>
    </w:p>
    <w:p w14:paraId="0E479C6B" w14:textId="77777777" w:rsidR="0089256A" w:rsidRPr="0089256A" w:rsidRDefault="0089256A" w:rsidP="008925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Is suppression predicted to improve disease?</w:t>
      </w:r>
    </w:p>
    <w:p w14:paraId="6C48778E" w14:textId="77777777" w:rsidR="0089256A" w:rsidRPr="0089256A" w:rsidRDefault="0089256A" w:rsidP="008925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Is partial knockdown sufficient?</w:t>
      </w:r>
    </w:p>
    <w:p w14:paraId="331F75C0" w14:textId="77777777" w:rsidR="0089256A" w:rsidRPr="0089256A" w:rsidRDefault="0089256A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pict w14:anchorId="323EDE3F">
          <v:rect id="_x0000_i1037" style="width:0;height:1.5pt" o:hralign="center" o:hrstd="t" o:hr="t" fillcolor="#a0a0a0" stroked="f"/>
        </w:pict>
      </w:r>
    </w:p>
    <w:p w14:paraId="58F527A2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Modality Fit</w:t>
      </w:r>
    </w:p>
    <w:p w14:paraId="4FFE465F" w14:textId="77777777" w:rsidR="0089256A" w:rsidRPr="0089256A" w:rsidRDefault="0089256A" w:rsidP="008925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Can RNAi silence this effectively?</w:t>
      </w:r>
    </w:p>
    <w:p w14:paraId="68DE8027" w14:textId="77777777" w:rsidR="0089256A" w:rsidRPr="0089256A" w:rsidRDefault="0089256A" w:rsidP="008925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Is the tissue accessible?</w:t>
      </w:r>
    </w:p>
    <w:p w14:paraId="3AE7499C" w14:textId="77777777" w:rsidR="0089256A" w:rsidRPr="0089256A" w:rsidRDefault="0089256A" w:rsidP="008925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Is repeat dosing viable?</w:t>
      </w:r>
    </w:p>
    <w:p w14:paraId="55FFBFA9" w14:textId="77777777" w:rsidR="0089256A" w:rsidRPr="0089256A" w:rsidRDefault="0089256A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pict w14:anchorId="30E0DCA5">
          <v:rect id="_x0000_i1038" style="width:0;height:1.5pt" o:hralign="center" o:hrstd="t" o:hr="t" fillcolor="#a0a0a0" stroked="f"/>
        </w:pict>
      </w:r>
    </w:p>
    <w:p w14:paraId="4F689601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Translational Strength</w:t>
      </w:r>
    </w:p>
    <w:p w14:paraId="7A4F7582" w14:textId="77777777" w:rsidR="0089256A" w:rsidRPr="0089256A" w:rsidRDefault="0089256A" w:rsidP="008925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there a measurable protein biomarker?</w:t>
      </w:r>
    </w:p>
    <w:p w14:paraId="555BF190" w14:textId="77777777" w:rsidR="0089256A" w:rsidRPr="0089256A" w:rsidRDefault="0089256A" w:rsidP="008925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Is target engagement quantifiable?</w:t>
      </w:r>
    </w:p>
    <w:p w14:paraId="434F0C63" w14:textId="77777777" w:rsidR="0089256A" w:rsidRPr="0089256A" w:rsidRDefault="0089256A" w:rsidP="008925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Is dose-response predictable?</w:t>
      </w:r>
    </w:p>
    <w:p w14:paraId="4A9AFB18" w14:textId="77777777" w:rsidR="0089256A" w:rsidRPr="0089256A" w:rsidRDefault="0089256A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pict w14:anchorId="3D7D83E7">
          <v:rect id="_x0000_i1039" style="width:0;height:1.5pt" o:hralign="center" o:hrstd="t" o:hr="t" fillcolor="#a0a0a0" stroked="f"/>
        </w:pict>
      </w:r>
    </w:p>
    <w:p w14:paraId="369FAC59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Competitive &amp; Strategic Fit</w:t>
      </w:r>
    </w:p>
    <w:p w14:paraId="26A3AA00" w14:textId="77777777" w:rsidR="0089256A" w:rsidRPr="0089256A" w:rsidRDefault="0089256A" w:rsidP="008925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Does it extend RNAi leadership?</w:t>
      </w:r>
    </w:p>
    <w:p w14:paraId="6FBD8967" w14:textId="77777777" w:rsidR="0089256A" w:rsidRPr="0089256A" w:rsidRDefault="0089256A" w:rsidP="008925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Is IP defensible?</w:t>
      </w:r>
    </w:p>
    <w:p w14:paraId="554D3897" w14:textId="77777777" w:rsidR="0089256A" w:rsidRPr="0089256A" w:rsidRDefault="0089256A" w:rsidP="008925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Can it build a franchise?</w:t>
      </w:r>
    </w:p>
    <w:p w14:paraId="0E80E295" w14:textId="77777777" w:rsidR="0089256A" w:rsidRPr="0089256A" w:rsidRDefault="0089256A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pict w14:anchorId="133A0638">
          <v:rect id="_x0000_i1040" style="width:0;height:1.5pt" o:hralign="center" o:hrstd="t" o:hr="t" fillcolor="#a0a0a0" stroked="f"/>
        </w:pict>
      </w:r>
    </w:p>
    <w:p w14:paraId="01812CEC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View on AI &amp; Platforms</w:t>
      </w:r>
    </w:p>
    <w:p w14:paraId="53A51574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Natarajan views AI as:</w:t>
      </w:r>
    </w:p>
    <w:p w14:paraId="7F34D410" w14:textId="77777777" w:rsidR="0089256A" w:rsidRPr="0089256A" w:rsidRDefault="0089256A" w:rsidP="008925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Target prioritization enhancer</w:t>
      </w:r>
    </w:p>
    <w:p w14:paraId="28B855B6" w14:textId="77777777" w:rsidR="0089256A" w:rsidRPr="0089256A" w:rsidRDefault="0089256A" w:rsidP="008925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Off-target prediction tool</w:t>
      </w:r>
    </w:p>
    <w:p w14:paraId="42BCF02C" w14:textId="77777777" w:rsidR="0089256A" w:rsidRPr="0089256A" w:rsidRDefault="0089256A" w:rsidP="008925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Delivery optimization accelerator</w:t>
      </w:r>
    </w:p>
    <w:p w14:paraId="6556A5A5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She is skeptical of:</w:t>
      </w:r>
    </w:p>
    <w:p w14:paraId="481D86BA" w14:textId="77777777" w:rsidR="0089256A" w:rsidRPr="0089256A" w:rsidRDefault="0089256A" w:rsidP="008925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Non-genetic target discovery claims</w:t>
      </w:r>
    </w:p>
    <w:p w14:paraId="2FC67AF8" w14:textId="77777777" w:rsidR="0089256A" w:rsidRPr="0089256A" w:rsidRDefault="0089256A" w:rsidP="008925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Platforms without clear genetic anchor</w:t>
      </w:r>
    </w:p>
    <w:p w14:paraId="6C68370F" w14:textId="77777777" w:rsidR="0089256A" w:rsidRPr="0089256A" w:rsidRDefault="0089256A" w:rsidP="008925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Mechanism-agnostic screening approaches</w:t>
      </w:r>
    </w:p>
    <w:p w14:paraId="751538C7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She is intrigued by:</w:t>
      </w:r>
    </w:p>
    <w:p w14:paraId="4A300D93" w14:textId="77777777" w:rsidR="0089256A" w:rsidRPr="0089256A" w:rsidRDefault="0089256A" w:rsidP="008925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Functional gene perturbation datasets</w:t>
      </w:r>
    </w:p>
    <w:p w14:paraId="30858DCE" w14:textId="77777777" w:rsidR="0089256A" w:rsidRPr="0089256A" w:rsidRDefault="0089256A" w:rsidP="008925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CRISPR-scale maps validating knockdown phenotypes</w:t>
      </w:r>
    </w:p>
    <w:p w14:paraId="0E9DE3AB" w14:textId="77777777" w:rsidR="0089256A" w:rsidRPr="0089256A" w:rsidRDefault="0089256A" w:rsidP="008925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Systems linking gene expression suppression to neuronal function</w:t>
      </w:r>
    </w:p>
    <w:p w14:paraId="5A33C3B4" w14:textId="77777777" w:rsidR="0089256A" w:rsidRPr="0089256A" w:rsidRDefault="0089256A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pict w14:anchorId="340D48E5">
          <v:rect id="_x0000_i1041" style="width:0;height:1.5pt" o:hralign="center" o:hrstd="t" o:hr="t" fillcolor="#a0a0a0" stroked="f"/>
        </w:pict>
      </w:r>
    </w:p>
    <w:p w14:paraId="0EE7AD28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Pain Points &amp; Frustrations</w:t>
      </w:r>
    </w:p>
    <w:p w14:paraId="68EA860F" w14:textId="77777777" w:rsidR="0089256A" w:rsidRPr="0089256A" w:rsidRDefault="0089256A" w:rsidP="008925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CNS delivery barriers</w:t>
      </w:r>
    </w:p>
    <w:p w14:paraId="0825E5F0" w14:textId="77777777" w:rsidR="0089256A" w:rsidRPr="0089256A" w:rsidRDefault="0089256A" w:rsidP="008925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Tissue-specific variability</w:t>
      </w:r>
    </w:p>
    <w:p w14:paraId="30F2DEA9" w14:textId="77777777" w:rsidR="0089256A" w:rsidRPr="0089256A" w:rsidRDefault="0089256A" w:rsidP="008925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Regulatory scrutiny in genetic medicine</w:t>
      </w:r>
    </w:p>
    <w:p w14:paraId="7054D541" w14:textId="77777777" w:rsidR="0089256A" w:rsidRPr="0089256A" w:rsidRDefault="0089256A" w:rsidP="008925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Long timelines for rare disease trials</w:t>
      </w:r>
    </w:p>
    <w:p w14:paraId="018612FB" w14:textId="77777777" w:rsidR="0089256A" w:rsidRPr="0089256A" w:rsidRDefault="0089256A" w:rsidP="008925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Off-target safety concerns</w:t>
      </w:r>
    </w:p>
    <w:p w14:paraId="0F92DE1C" w14:textId="77777777" w:rsidR="0089256A" w:rsidRPr="0089256A" w:rsidRDefault="0089256A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CB235A8">
          <v:rect id="_x0000_i1042" style="width:0;height:1.5pt" o:hralign="center" o:hrstd="t" o:hr="t" fillcolor="#a0a0a0" stroked="f"/>
        </w:pict>
      </w:r>
    </w:p>
    <w:p w14:paraId="105F911F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What Gets Her Excited</w:t>
      </w:r>
    </w:p>
    <w:p w14:paraId="3D4F130A" w14:textId="77777777" w:rsidR="0089256A" w:rsidRPr="0089256A" w:rsidRDefault="0089256A" w:rsidP="008925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Clear genotype–phenotype relationships</w:t>
      </w:r>
    </w:p>
    <w:p w14:paraId="1D9A2E61" w14:textId="77777777" w:rsidR="0089256A" w:rsidRPr="0089256A" w:rsidRDefault="0089256A" w:rsidP="008925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Functional validation of gene suppression in human neurons</w:t>
      </w:r>
    </w:p>
    <w:p w14:paraId="3EF202E6" w14:textId="77777777" w:rsidR="0089256A" w:rsidRPr="0089256A" w:rsidRDefault="0089256A" w:rsidP="008925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Quantitative phenotypic mapping of gene knockdown</w:t>
      </w:r>
    </w:p>
    <w:p w14:paraId="65660C37" w14:textId="77777777" w:rsidR="0089256A" w:rsidRPr="0089256A" w:rsidRDefault="0089256A" w:rsidP="008925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Tools predicting clinical response from functional data</w:t>
      </w:r>
    </w:p>
    <w:p w14:paraId="16EF91F2" w14:textId="77777777" w:rsidR="0089256A" w:rsidRPr="0089256A" w:rsidRDefault="0089256A" w:rsidP="008925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Platforms accelerating RNAi target ranking</w:t>
      </w:r>
    </w:p>
    <w:p w14:paraId="7FBE9CF8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She is particularly drawn to:</w:t>
      </w:r>
    </w:p>
    <w:p w14:paraId="4E98CECD" w14:textId="77777777" w:rsidR="0089256A" w:rsidRPr="0089256A" w:rsidRDefault="0089256A" w:rsidP="008925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Systems that show causal impact of gene suppression on neuronal function</w:t>
      </w:r>
    </w:p>
    <w:p w14:paraId="5742804A" w14:textId="77777777" w:rsidR="0089256A" w:rsidRPr="0089256A" w:rsidRDefault="0089256A" w:rsidP="008925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Human-relevant electrophysiology data</w:t>
      </w:r>
    </w:p>
    <w:p w14:paraId="2D406D5A" w14:textId="77777777" w:rsidR="0089256A" w:rsidRPr="0089256A" w:rsidRDefault="0089256A" w:rsidP="008925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Technologies that de-risk CNS genetic targets before IND</w:t>
      </w:r>
    </w:p>
    <w:p w14:paraId="1BAFE0B3" w14:textId="77777777" w:rsidR="0089256A" w:rsidRPr="0089256A" w:rsidRDefault="0089256A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pict w14:anchorId="5BC15E46">
          <v:rect id="_x0000_i1043" style="width:0;height:1.5pt" o:hralign="center" o:hrstd="t" o:hr="t" fillcolor="#a0a0a0" stroked="f"/>
        </w:pict>
      </w:r>
    </w:p>
    <w:p w14:paraId="454C060C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How She Engages with Biotech</w:t>
      </w:r>
    </w:p>
    <w:p w14:paraId="1090DE18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Meeting</w:t>
      </w:r>
    </w:p>
    <w:p w14:paraId="20A4E921" w14:textId="77777777" w:rsidR="0089256A" w:rsidRPr="0089256A" w:rsidRDefault="0089256A" w:rsidP="008925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Asks about genetic causality</w:t>
      </w:r>
    </w:p>
    <w:p w14:paraId="7190697B" w14:textId="77777777" w:rsidR="0089256A" w:rsidRPr="0089256A" w:rsidRDefault="0089256A" w:rsidP="008925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Probes knockdown rationale</w:t>
      </w:r>
    </w:p>
    <w:p w14:paraId="4C2B935C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Deep Dive</w:t>
      </w:r>
    </w:p>
    <w:p w14:paraId="3EC11E0B" w14:textId="77777777" w:rsidR="0089256A" w:rsidRPr="0089256A" w:rsidRDefault="0089256A" w:rsidP="008925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Integrates delivery scientists</w:t>
      </w:r>
    </w:p>
    <w:p w14:paraId="11AA5BDF" w14:textId="77777777" w:rsidR="0089256A" w:rsidRPr="0089256A" w:rsidRDefault="0089256A" w:rsidP="008925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Evaluates off-target risk</w:t>
      </w:r>
    </w:p>
    <w:p w14:paraId="4F93459D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Review</w:t>
      </w:r>
    </w:p>
    <w:p w14:paraId="5FE27C70" w14:textId="77777777" w:rsidR="0089256A" w:rsidRPr="0089256A" w:rsidRDefault="0089256A" w:rsidP="008925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Assesses platform compatibility</w:t>
      </w:r>
    </w:p>
    <w:p w14:paraId="0ECCBDD1" w14:textId="77777777" w:rsidR="0089256A" w:rsidRPr="0089256A" w:rsidRDefault="0089256A" w:rsidP="008925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Reviews IP landscape</w:t>
      </w:r>
    </w:p>
    <w:p w14:paraId="5F9AA855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She disengages if:</w:t>
      </w:r>
    </w:p>
    <w:p w14:paraId="4B38A191" w14:textId="77777777" w:rsidR="0089256A" w:rsidRPr="0089256A" w:rsidRDefault="0089256A" w:rsidP="008925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Biology is not genetically anchored</w:t>
      </w:r>
    </w:p>
    <w:p w14:paraId="569B059A" w14:textId="77777777" w:rsidR="0089256A" w:rsidRPr="0089256A" w:rsidRDefault="0089256A" w:rsidP="008925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Delivery strategy is speculative</w:t>
      </w:r>
    </w:p>
    <w:p w14:paraId="1432BB31" w14:textId="77777777" w:rsidR="0089256A" w:rsidRPr="0089256A" w:rsidRDefault="0089256A" w:rsidP="008925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Target suppression risk is unclear</w:t>
      </w:r>
    </w:p>
    <w:p w14:paraId="7943FCE5" w14:textId="77777777" w:rsidR="0089256A" w:rsidRPr="0089256A" w:rsidRDefault="00984D1E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1E">
        <w:rPr>
          <w:rFonts w:ascii="Times New Roman" w:eastAsia="Times New Roman" w:hAnsi="Times New Roman" w:cs="Times New Roman"/>
          <w:noProof/>
          <w:kern w:val="0"/>
        </w:rPr>
        <w:pict w14:anchorId="40A1B009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049E2F0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Communication Style</w:t>
      </w:r>
    </w:p>
    <w:p w14:paraId="6D93F3DE" w14:textId="77777777" w:rsidR="0089256A" w:rsidRPr="0089256A" w:rsidRDefault="0089256A" w:rsidP="008925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Precise</w:t>
      </w:r>
    </w:p>
    <w:p w14:paraId="5FFF6DF4" w14:textId="77777777" w:rsidR="0089256A" w:rsidRPr="0089256A" w:rsidRDefault="0089256A" w:rsidP="008925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Mechanistically detailed</w:t>
      </w:r>
    </w:p>
    <w:p w14:paraId="652A0F77" w14:textId="77777777" w:rsidR="0089256A" w:rsidRPr="0089256A" w:rsidRDefault="0089256A" w:rsidP="008925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Data-oriented</w:t>
      </w:r>
    </w:p>
    <w:p w14:paraId="19A042AA" w14:textId="77777777" w:rsidR="0089256A" w:rsidRPr="0089256A" w:rsidRDefault="0089256A" w:rsidP="008925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Platform-focused</w:t>
      </w:r>
    </w:p>
    <w:p w14:paraId="342A45F5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Prefers:</w:t>
      </w:r>
    </w:p>
    <w:p w14:paraId="54CA8572" w14:textId="77777777" w:rsidR="0089256A" w:rsidRPr="0089256A" w:rsidRDefault="0089256A" w:rsidP="008925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Clear gene–protein–phenotype diagrams</w:t>
      </w:r>
    </w:p>
    <w:p w14:paraId="786E3E27" w14:textId="77777777" w:rsidR="0089256A" w:rsidRPr="0089256A" w:rsidRDefault="0089256A" w:rsidP="008925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Quantitative knockdown data</w:t>
      </w:r>
    </w:p>
    <w:p w14:paraId="385352E8" w14:textId="77777777" w:rsidR="0089256A" w:rsidRPr="0089256A" w:rsidRDefault="0089256A" w:rsidP="008925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Translational biomarker strategy</w:t>
      </w:r>
    </w:p>
    <w:p w14:paraId="6FA067F8" w14:textId="77777777" w:rsidR="0089256A" w:rsidRPr="0089256A" w:rsidRDefault="0089256A" w:rsidP="008925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Delivery feasibility outline</w:t>
      </w:r>
    </w:p>
    <w:p w14:paraId="77C17F30" w14:textId="77777777" w:rsidR="0089256A" w:rsidRPr="0089256A" w:rsidRDefault="00984D1E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1E">
        <w:rPr>
          <w:rFonts w:ascii="Times New Roman" w:eastAsia="Times New Roman" w:hAnsi="Times New Roman" w:cs="Times New Roman"/>
          <w:noProof/>
          <w:kern w:val="0"/>
        </w:rPr>
        <w:pict w14:anchorId="6C7DB9EF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5395C6E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Metrics She Tracks</w:t>
      </w:r>
    </w:p>
    <w:p w14:paraId="149BDBE1" w14:textId="77777777" w:rsidR="0089256A" w:rsidRPr="0089256A" w:rsidRDefault="0089256A" w:rsidP="00892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% programs with strong genetic causality</w:t>
      </w:r>
    </w:p>
    <w:p w14:paraId="3A4EFA24" w14:textId="77777777" w:rsidR="0089256A" w:rsidRPr="0089256A" w:rsidRDefault="0089256A" w:rsidP="00892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Target knockdown efficiency</w:t>
      </w:r>
    </w:p>
    <w:p w14:paraId="02DF01C9" w14:textId="77777777" w:rsidR="0089256A" w:rsidRPr="0089256A" w:rsidRDefault="0089256A" w:rsidP="00892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Biomarker engagement rate</w:t>
      </w:r>
    </w:p>
    <w:p w14:paraId="4054332B" w14:textId="77777777" w:rsidR="0089256A" w:rsidRPr="0089256A" w:rsidRDefault="0089256A" w:rsidP="00892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Time from target validation to IND</w:t>
      </w:r>
    </w:p>
    <w:p w14:paraId="793BC679" w14:textId="77777777" w:rsidR="0089256A" w:rsidRPr="0089256A" w:rsidRDefault="0089256A" w:rsidP="00892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Platform scalability index</w:t>
      </w:r>
    </w:p>
    <w:p w14:paraId="0539F63D" w14:textId="77777777" w:rsidR="0089256A" w:rsidRPr="0089256A" w:rsidRDefault="0089256A" w:rsidP="00892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Safety margin of suppression</w:t>
      </w:r>
    </w:p>
    <w:p w14:paraId="1BA83364" w14:textId="77777777" w:rsidR="0089256A" w:rsidRPr="0089256A" w:rsidRDefault="00984D1E" w:rsidP="00892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1E">
        <w:rPr>
          <w:rFonts w:ascii="Times New Roman" w:eastAsia="Times New Roman" w:hAnsi="Times New Roman" w:cs="Times New Roman"/>
          <w:noProof/>
          <w:kern w:val="0"/>
        </w:rPr>
        <w:pict w14:anchorId="4238138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EC843C5" w14:textId="77777777" w:rsidR="0089256A" w:rsidRPr="0089256A" w:rsidRDefault="0089256A" w:rsidP="00892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2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Long-Term Vision</w:t>
      </w:r>
    </w:p>
    <w:p w14:paraId="03DC9823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Natarajan’s ambition:</w:t>
      </w:r>
    </w:p>
    <w:p w14:paraId="40C539B3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“Establish RNAi as the dominant modality in genetically defined disease.”</w:t>
      </w:r>
    </w:p>
    <w:p w14:paraId="694370B3" w14:textId="77777777" w:rsidR="0089256A" w:rsidRPr="0089256A" w:rsidRDefault="0089256A" w:rsidP="0089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She envisions:</w:t>
      </w:r>
    </w:p>
    <w:p w14:paraId="5B4779B6" w14:textId="77777777" w:rsidR="0089256A" w:rsidRPr="0089256A" w:rsidRDefault="0089256A" w:rsidP="008925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Expansion of RNAi into CNS</w:t>
      </w:r>
    </w:p>
    <w:p w14:paraId="60153087" w14:textId="77777777" w:rsidR="0089256A" w:rsidRPr="0089256A" w:rsidRDefault="0089256A" w:rsidP="008925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Durable gene silencing therapies</w:t>
      </w:r>
    </w:p>
    <w:p w14:paraId="27F39D16" w14:textId="77777777" w:rsidR="0089256A" w:rsidRPr="0089256A" w:rsidRDefault="0089256A" w:rsidP="008925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Precision-driven patient stratification</w:t>
      </w:r>
    </w:p>
    <w:p w14:paraId="47DE1A00" w14:textId="77777777" w:rsidR="0089256A" w:rsidRPr="0089256A" w:rsidRDefault="0089256A" w:rsidP="008925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Strong translational predictability</w:t>
      </w:r>
    </w:p>
    <w:p w14:paraId="2E985701" w14:textId="77777777" w:rsidR="0089256A" w:rsidRPr="0089256A" w:rsidRDefault="0089256A" w:rsidP="008925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256A">
        <w:rPr>
          <w:rFonts w:ascii="Times New Roman" w:eastAsia="Times New Roman" w:hAnsi="Times New Roman" w:cs="Times New Roman"/>
          <w:kern w:val="0"/>
          <w14:ligatures w14:val="none"/>
        </w:rPr>
        <w:t>Continued modality leadership</w:t>
      </w:r>
    </w:p>
    <w:p w14:paraId="4EFD2520" w14:textId="77777777" w:rsidR="00444D45" w:rsidRDefault="00444D45"/>
    <w:sectPr w:rsidR="00444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3AF"/>
    <w:multiLevelType w:val="multilevel"/>
    <w:tmpl w:val="8324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677EC"/>
    <w:multiLevelType w:val="multilevel"/>
    <w:tmpl w:val="B756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14879"/>
    <w:multiLevelType w:val="multilevel"/>
    <w:tmpl w:val="17E0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957CD"/>
    <w:multiLevelType w:val="multilevel"/>
    <w:tmpl w:val="5D6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B462D"/>
    <w:multiLevelType w:val="multilevel"/>
    <w:tmpl w:val="F8AA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75723"/>
    <w:multiLevelType w:val="multilevel"/>
    <w:tmpl w:val="5D04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121A1"/>
    <w:multiLevelType w:val="multilevel"/>
    <w:tmpl w:val="A2B4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C589B"/>
    <w:multiLevelType w:val="multilevel"/>
    <w:tmpl w:val="03B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55A52"/>
    <w:multiLevelType w:val="multilevel"/>
    <w:tmpl w:val="93E6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B43ED"/>
    <w:multiLevelType w:val="multilevel"/>
    <w:tmpl w:val="484C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B618C"/>
    <w:multiLevelType w:val="multilevel"/>
    <w:tmpl w:val="009E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21990"/>
    <w:multiLevelType w:val="multilevel"/>
    <w:tmpl w:val="9EC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A728A"/>
    <w:multiLevelType w:val="multilevel"/>
    <w:tmpl w:val="E618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941FD"/>
    <w:multiLevelType w:val="multilevel"/>
    <w:tmpl w:val="8966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A3054"/>
    <w:multiLevelType w:val="multilevel"/>
    <w:tmpl w:val="88A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16095"/>
    <w:multiLevelType w:val="multilevel"/>
    <w:tmpl w:val="F5B0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552B6"/>
    <w:multiLevelType w:val="multilevel"/>
    <w:tmpl w:val="D226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C111F"/>
    <w:multiLevelType w:val="multilevel"/>
    <w:tmpl w:val="26E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11264"/>
    <w:multiLevelType w:val="multilevel"/>
    <w:tmpl w:val="5042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8629D"/>
    <w:multiLevelType w:val="multilevel"/>
    <w:tmpl w:val="DF5A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13442"/>
    <w:multiLevelType w:val="multilevel"/>
    <w:tmpl w:val="1DC2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5556A"/>
    <w:multiLevelType w:val="multilevel"/>
    <w:tmpl w:val="218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C532D"/>
    <w:multiLevelType w:val="multilevel"/>
    <w:tmpl w:val="5148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779C2"/>
    <w:multiLevelType w:val="multilevel"/>
    <w:tmpl w:val="9D86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210B8"/>
    <w:multiLevelType w:val="multilevel"/>
    <w:tmpl w:val="49D6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877F9"/>
    <w:multiLevelType w:val="multilevel"/>
    <w:tmpl w:val="CC62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94436"/>
    <w:multiLevelType w:val="multilevel"/>
    <w:tmpl w:val="1B7E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E34F8"/>
    <w:multiLevelType w:val="multilevel"/>
    <w:tmpl w:val="A3A0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20587"/>
    <w:multiLevelType w:val="multilevel"/>
    <w:tmpl w:val="9456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B03F9B"/>
    <w:multiLevelType w:val="multilevel"/>
    <w:tmpl w:val="CE36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F0CE7"/>
    <w:multiLevelType w:val="multilevel"/>
    <w:tmpl w:val="38B6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52828">
    <w:abstractNumId w:val="13"/>
  </w:num>
  <w:num w:numId="2" w16cid:durableId="693112167">
    <w:abstractNumId w:val="10"/>
  </w:num>
  <w:num w:numId="3" w16cid:durableId="1267037360">
    <w:abstractNumId w:val="17"/>
  </w:num>
  <w:num w:numId="4" w16cid:durableId="1086420507">
    <w:abstractNumId w:val="23"/>
  </w:num>
  <w:num w:numId="5" w16cid:durableId="1546017362">
    <w:abstractNumId w:val="16"/>
  </w:num>
  <w:num w:numId="6" w16cid:durableId="1831215856">
    <w:abstractNumId w:val="8"/>
  </w:num>
  <w:num w:numId="7" w16cid:durableId="1813593661">
    <w:abstractNumId w:val="30"/>
  </w:num>
  <w:num w:numId="8" w16cid:durableId="1718162743">
    <w:abstractNumId w:val="29"/>
  </w:num>
  <w:num w:numId="9" w16cid:durableId="870260402">
    <w:abstractNumId w:val="4"/>
  </w:num>
  <w:num w:numId="10" w16cid:durableId="2097945606">
    <w:abstractNumId w:val="18"/>
  </w:num>
  <w:num w:numId="11" w16cid:durableId="1973290320">
    <w:abstractNumId w:val="15"/>
  </w:num>
  <w:num w:numId="12" w16cid:durableId="779297359">
    <w:abstractNumId w:val="2"/>
  </w:num>
  <w:num w:numId="13" w16cid:durableId="1744991348">
    <w:abstractNumId w:val="21"/>
  </w:num>
  <w:num w:numId="14" w16cid:durableId="1003437314">
    <w:abstractNumId w:val="26"/>
  </w:num>
  <w:num w:numId="15" w16cid:durableId="252662647">
    <w:abstractNumId w:val="12"/>
  </w:num>
  <w:num w:numId="16" w16cid:durableId="1330863396">
    <w:abstractNumId w:val="9"/>
  </w:num>
  <w:num w:numId="17" w16cid:durableId="1169716711">
    <w:abstractNumId w:val="28"/>
  </w:num>
  <w:num w:numId="18" w16cid:durableId="1161115485">
    <w:abstractNumId w:val="27"/>
  </w:num>
  <w:num w:numId="19" w16cid:durableId="118302792">
    <w:abstractNumId w:val="7"/>
  </w:num>
  <w:num w:numId="20" w16cid:durableId="1927880008">
    <w:abstractNumId w:val="6"/>
  </w:num>
  <w:num w:numId="21" w16cid:durableId="1890454983">
    <w:abstractNumId w:val="1"/>
  </w:num>
  <w:num w:numId="22" w16cid:durableId="730077058">
    <w:abstractNumId w:val="11"/>
  </w:num>
  <w:num w:numId="23" w16cid:durableId="1438788336">
    <w:abstractNumId w:val="5"/>
  </w:num>
  <w:num w:numId="24" w16cid:durableId="384060666">
    <w:abstractNumId w:val="24"/>
  </w:num>
  <w:num w:numId="25" w16cid:durableId="1567178745">
    <w:abstractNumId w:val="20"/>
  </w:num>
  <w:num w:numId="26" w16cid:durableId="1014499296">
    <w:abstractNumId w:val="25"/>
  </w:num>
  <w:num w:numId="27" w16cid:durableId="116263795">
    <w:abstractNumId w:val="14"/>
  </w:num>
  <w:num w:numId="28" w16cid:durableId="457184080">
    <w:abstractNumId w:val="22"/>
  </w:num>
  <w:num w:numId="29" w16cid:durableId="1454713733">
    <w:abstractNumId w:val="3"/>
  </w:num>
  <w:num w:numId="30" w16cid:durableId="1170683643">
    <w:abstractNumId w:val="19"/>
  </w:num>
  <w:num w:numId="31" w16cid:durableId="84655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6A"/>
    <w:rsid w:val="00122A5A"/>
    <w:rsid w:val="00444D45"/>
    <w:rsid w:val="006A21B9"/>
    <w:rsid w:val="0089256A"/>
    <w:rsid w:val="00984D1E"/>
    <w:rsid w:val="00C8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5F9C9"/>
  <w15:chartTrackingRefBased/>
  <w15:docId w15:val="{E07F1BF0-FA17-D342-94BC-C12A00EA1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2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2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5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2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256A"/>
    <w:rPr>
      <w:b/>
      <w:bCs/>
    </w:rPr>
  </w:style>
  <w:style w:type="character" w:customStyle="1" w:styleId="whitespace-normal">
    <w:name w:val="whitespace-normal"/>
    <w:basedOn w:val="DefaultParagraphFont"/>
    <w:rsid w:val="00892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723</Words>
  <Characters>5087</Characters>
  <Application>Microsoft Office Word</Application>
  <DocSecurity>0</DocSecurity>
  <Lines>195</Lines>
  <Paragraphs>181</Paragraphs>
  <ScaleCrop>false</ScaleCrop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Fink</dc:creator>
  <cp:keywords/>
  <dc:description/>
  <cp:lastModifiedBy>James Fink</cp:lastModifiedBy>
  <cp:revision>1</cp:revision>
  <dcterms:created xsi:type="dcterms:W3CDTF">2026-02-18T01:53:00Z</dcterms:created>
  <dcterms:modified xsi:type="dcterms:W3CDTF">2026-02-18T01:54:00Z</dcterms:modified>
</cp:coreProperties>
</file>