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/>
      </w:pPr>
      <w:r>
        <w:t xml:space="preserve">Sapphire Pipeline Workflow</w:t>
      </w:r>
    </w:p>
    <w:p>
      <w:pPr>
        <w:pStyle w:val="Heading2"/>
        <w:spacing w:after="200"/>
      </w:pPr>
      <w:r>
        <w:t xml:space="preserve">Prompt: "Are there known disease-causing variants in Gene X that could guide a splice-modulating or allele-selective ASO strategy?"</w:t>
      </w:r>
    </w:p>
    <w:p>
      <w:pPr>
        <w:spacing w:after="300" w:line="360"/>
      </w:pPr>
      <w:r>
        <w:rPr>
          <w:rFonts w:ascii="Arial" w:cs="Arial" w:eastAsia="Arial" w:hAnsi="Arial"/>
          <w:sz w:val="24"/>
          <w:szCs w:val="24"/>
        </w:rPr>
        <w:t xml:space="preserve">This document defines the complete Sapphire pipeline — the sequential stages, tools called, external datasets used, inputs, outputs, and decision logic — required to deliver a valid, actionable answer to this prompt.</w:t>
      </w:r>
    </w:p>
    <w:p>
      <w:pPr>
        <w:pStyle w:val="Heading2"/>
        <w:spacing w:before="200" w:after="200"/>
      </w:pPr>
      <w:r>
        <w:t xml:space="preserve">Pipeline Overview</w:t>
      </w:r>
    </w:p>
    <w:p>
      <w:pPr>
        <w:spacing w:after="300" w:line="360"/>
      </w:pPr>
      <w:r>
        <w:rPr>
          <w:rFonts w:ascii="Arial" w:cs="Arial" w:eastAsia="Arial" w:hAnsi="Arial"/>
          <w:sz w:val="24"/>
          <w:szCs w:val="24"/>
        </w:rPr>
        <w:t xml:space="preserve">This pipeline systematically identifies disease-causing variants in a target gene and determines how these variants could inform antisense oligonucleotide (ASO) therapeutic strategies. It integrates variant pathogenicity classification, functional consequence analysis, and splice-site targeting logic to produce actionable ASO design recommendations.</w:t>
      </w:r>
    </w:p>
    <w:p>
      <w:pPr>
        <w:spacing w:after="300" w:line="360"/>
      </w:pPr>
      <w:r>
        <w:rPr>
          <w:rFonts w:ascii="Arial" w:cs="Arial" w:eastAsia="Arial" w:hAnsi="Arial"/>
          <w:sz w:val="24"/>
          <w:szCs w:val="24"/>
        </w:rPr>
        <w:t xml:space="preserve">The pipeline operates across six sequential stages: (1) variant discovery and pathogenicity assessment, (2) functional classification by mechanism, (3) ASO strategy mapping, (4) splice-site and off-target analysis, (5) comprehensive safety evaluation, and (6) final prioritization with composite scoring. Each stage leverages public databases, internal Quiver resources, and specialized bioinformatic tools.</w:t>
      </w:r>
    </w:p>
    <w:p>
      <w:pPr>
        <w:pStyle w:val="Heading2"/>
        <w:spacing w:before="300" w:after="200"/>
      </w:pPr>
      <w:r>
        <w:t xml:space="preserve">Stage 1: Gene &amp; Variant Retrieval</w:t>
      </w:r>
    </w:p>
    <w:p>
      <w:p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Retrieve all known disease-causing variants associated with the target gene (Gene X) from authoritative sources, perform initial pathogenicity classification, and filter to disease-relevant variants.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bullets"/>
        <w:spacing w:after="80"/>
      </w:pPr>
      <w:r>
        <w:t xml:space="preserve">Gene symbol or HGNC ID (e.g., BRCA1, HTT, SMN1)</w:t>
      </w:r>
    </w:p>
    <w:p>
      <w:pPr>
        <w:pStyle w:val="bullets"/>
        <w:spacing w:after="80"/>
      </w:pPr>
      <w:r>
        <w:t xml:space="preserve">Disease context (optional, e.g., cancer, neurodegeneration, spinal muscular atrophy)</w:t>
      </w:r>
    </w:p>
    <w:p>
      <w:pPr>
        <w:pStyle w:val="bullets"/>
        <w:spacing w:after="100"/>
      </w:pPr>
      <w:r>
        <w:t xml:space="preserve">Minimum evidence threshold (e.g., &gt;1 submitter, &gt;1 study, ClinVar gold-star criteria)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bullets"/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ClinVar API: </w:t>
      </w:r>
      <w:r>
        <w:rPr>
          <w:rFonts w:ascii="Arial" w:cs="Arial" w:eastAsia="Arial" w:hAnsi="Arial"/>
          <w:sz w:val="24"/>
          <w:szCs w:val="24"/>
        </w:rPr>
        <w:t xml:space="preserve">Query via eUtils (esearch/efetch) to retrieve all variants with pathogenic/likely pathogenic (P/LP) classification</w:t>
      </w:r>
    </w:p>
    <w:p>
      <w:pPr>
        <w:pStyle w:val="bullets"/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gnomAD: </w:t>
      </w:r>
      <w:r>
        <w:rPr>
          <w:rFonts w:ascii="Arial" w:cs="Arial" w:eastAsia="Arial" w:hAnsi="Arial"/>
          <w:sz w:val="24"/>
          <w:szCs w:val="24"/>
        </w:rPr>
        <w:t xml:space="preserve">Download gnomAD VCF for the target gene region; filter by allele frequency (AF &lt; 0.001 for recessive, AF &lt; 0.00001 for dominant)</w:t>
      </w:r>
    </w:p>
    <w:p>
      <w:pPr>
        <w:pStyle w:val="bullets"/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OMIM API: </w:t>
      </w:r>
      <w:r>
        <w:rPr>
          <w:rFonts w:ascii="Arial" w:cs="Arial" w:eastAsia="Arial" w:hAnsi="Arial"/>
          <w:sz w:val="24"/>
          <w:szCs w:val="24"/>
        </w:rPr>
        <w:t xml:space="preserve">Query OMIM for phenotype-gene associations and disease inheritance patterns (autosomal dominant/recessive, X-linked)</w:t>
      </w:r>
    </w:p>
    <w:p>
      <w:pPr>
        <w:pStyle w:val="bullets"/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Ensembl VEP: </w:t>
      </w:r>
      <w:r>
        <w:rPr>
          <w:rFonts w:ascii="Arial" w:cs="Arial" w:eastAsia="Arial" w:hAnsi="Arial"/>
          <w:sz w:val="24"/>
          <w:szCs w:val="24"/>
        </w:rPr>
        <w:t xml:space="preserve">Variant Effect Predictor REST API to annotate consequences (missense, frameshift, splice-site, stop-gained) at transcript level</w:t>
      </w:r>
    </w:p>
    <w:p>
      <w:pPr>
        <w:pStyle w:val="bullets"/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SpliceAI: </w:t>
      </w:r>
      <w:r>
        <w:rPr>
          <w:rFonts w:ascii="Arial" w:cs="Arial" w:eastAsia="Arial" w:hAnsi="Arial"/>
          <w:sz w:val="24"/>
          <w:szCs w:val="24"/>
        </w:rPr>
        <w:t xml:space="preserve">Deep learning model to predict splice-site disruption scores (0–1) for all variants; flag variants with score &gt;0.2 as splice-disrupting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bullets"/>
        <w:spacing w:after="80"/>
      </w:pPr>
      <w:r>
        <w:t xml:space="preserve">"Retrieve all ClinVar P/LP variants for HTT (Huntington Disease gene); export HGVS nomenclature, ClinVar ID, and pathogenicity votes."</w:t>
      </w:r>
    </w:p>
    <w:p>
      <w:pPr>
        <w:pStyle w:val="bullets"/>
        <w:spacing w:after="80"/>
      </w:pPr>
      <w:r>
        <w:t xml:space="preserve">"Filter gnomAD variants in SMN1 coding region to AF &lt; 0.00001 (ultra-rare disease variants); compare with OMIM phenotype data for spinal muscular atrophy."</w:t>
      </w:r>
    </w:p>
    <w:p>
      <w:pPr>
        <w:pStyle w:val="bullets"/>
        <w:spacing w:after="100"/>
      </w:pPr>
      <w:r>
        <w:t xml:space="preserve">"Run Ensembl VEP and SpliceAI on BRCA1 variants to classify as missense, frameshift, or splice-disrupting; exclude benign variants (SIFT/PolyPhen prediction)."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bullets"/>
        <w:spacing w:after="80"/>
      </w:pPr>
      <w:r>
        <w:t xml:space="preserve">Curated variant list (VCF or TSV) with columns: HGVS, ClinVar ID, consequence, SpliceAI score, ClinVar assertion, evidence count</w:t>
      </w:r>
    </w:p>
    <w:p>
      <w:pPr>
        <w:pStyle w:val="bullets"/>
        <w:spacing w:after="80"/>
      </w:pPr>
      <w:r>
        <w:t xml:space="preserve">Variant frequency summary (e.g., 23 frameshift, 18 missense, 9 splice-site, 5 stop-gained variants)</w:t>
      </w:r>
    </w:p>
    <w:p>
      <w:pPr>
        <w:pStyle w:val="bullets"/>
        <w:spacing w:after="100"/>
      </w:pPr>
      <w:r>
        <w:t xml:space="preserve">Inheritance pattern summary from OMIM (e.g., autosomal dominant, recessive, or X-linked)</w:t>
      </w:r>
    </w:p>
    <w:p>
      <w:pPr>
        <w:spacing w:after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Variant catalog (TSV or CSV) with standardized columns; JSON summary of gene-level statistics</w:t>
      </w:r>
    </w:p>
    <w:p>
      <w:pPr>
        <w:pStyle w:val="Heading2"/>
        <w:spacing w:before="300" w:after="200"/>
      </w:pPr>
      <w:r>
        <w:t xml:space="preserve">Stage 2: Functional Consequence Classification</w:t>
      </w:r>
    </w:p>
    <w:p>
      <w:p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Classify each disease-causing variant by molecular mechanism (gain-of-function, loss-of-function, splice-disrupting, dominant-negative) to inform downstream ASO strategy selection.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bullets"/>
        <w:spacing w:after="80"/>
      </w:pPr>
      <w:r>
        <w:t xml:space="preserve">Variant catalog from Stage 1 (with consequence annotations)</w:t>
      </w:r>
    </w:p>
    <w:p>
      <w:pPr>
        <w:pStyle w:val="bullets"/>
        <w:spacing w:after="80"/>
      </w:pPr>
      <w:r>
        <w:t xml:space="preserve">Gene transcript information (coding sequence, exon structure, canonical isoform)</w:t>
      </w:r>
    </w:p>
    <w:p>
      <w:pPr>
        <w:pStyle w:val="bullets"/>
        <w:spacing w:after="100"/>
      </w:pPr>
      <w:r>
        <w:t xml:space="preserve">Published literature on gene function and disease mechanism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bullets"/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UniProt: </w:t>
      </w:r>
      <w:r>
        <w:rPr>
          <w:rFonts w:ascii="Arial" w:cs="Arial" w:eastAsia="Arial" w:hAnsi="Arial"/>
          <w:sz w:val="24"/>
          <w:szCs w:val="24"/>
        </w:rPr>
        <w:t xml:space="preserve">REST API to retrieve protein domain annotations, active sites, and post-translational modifications; assess impact of missense variants on functional domains</w:t>
      </w:r>
    </w:p>
    <w:p>
      <w:pPr>
        <w:pStyle w:val="bullets"/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NCBI Gene/RefSeq: </w:t>
      </w:r>
      <w:r>
        <w:rPr>
          <w:rFonts w:ascii="Arial" w:cs="Arial" w:eastAsia="Arial" w:hAnsi="Arial"/>
          <w:sz w:val="24"/>
          <w:szCs w:val="24"/>
        </w:rPr>
        <w:t xml:space="preserve">Query to obtain canonical transcript, protein sequence, and functional annotations; map variants to RefSeq coordinates</w:t>
      </w:r>
    </w:p>
    <w:p>
      <w:pPr>
        <w:pStyle w:val="bullets"/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PubMed/LitVar: </w:t>
      </w:r>
      <w:r>
        <w:rPr>
          <w:rFonts w:ascii="Arial" w:cs="Arial" w:eastAsia="Arial" w:hAnsi="Arial"/>
          <w:sz w:val="24"/>
          <w:szCs w:val="24"/>
        </w:rPr>
        <w:t xml:space="preserve">Literature mining to extract reported functional consequences for each variant (e.g., haploinsufficiency, dominant-negative, neomorphic function)</w:t>
      </w:r>
    </w:p>
    <w:p>
      <w:pPr>
        <w:pStyle w:val="bullets"/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Quiver Internal EP Data: </w:t>
      </w:r>
      <w:r>
        <w:rPr>
          <w:rFonts w:ascii="Arial" w:cs="Arial" w:eastAsia="Arial" w:hAnsi="Arial"/>
          <w:sz w:val="24"/>
          <w:szCs w:val="24"/>
        </w:rPr>
        <w:t xml:space="preserve">Query internal CRISPR essentiality profiles and expression phenotype atlas to determine if gene is essential; relevant for assessing LoF vs. GoF</w:t>
      </w:r>
    </w:p>
    <w:p>
      <w:pPr>
        <w:pStyle w:val="bullets"/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LOVD (Leiden Open Variation Database): </w:t>
      </w:r>
      <w:r>
        <w:rPr>
          <w:rFonts w:ascii="Arial" w:cs="Arial" w:eastAsia="Arial" w:hAnsi="Arial"/>
          <w:sz w:val="24"/>
          <w:szCs w:val="24"/>
        </w:rPr>
        <w:t xml:space="preserve">Gene-specific mutation database to review detailed phenotypes and segregation data for variants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bullets"/>
        <w:spacing w:after="80"/>
      </w:pPr>
      <w:r>
        <w:t xml:space="preserve">"For each BRCA1 variant, classify as LoF (frameshift, stop, essential splice site) or dominant-negative (missense in zinc-finger domain). Cross-reference with literature."</w:t>
      </w:r>
    </w:p>
    <w:p>
      <w:pPr>
        <w:pStyle w:val="bullets"/>
        <w:spacing w:after="80"/>
      </w:pPr>
      <w:r>
        <w:t xml:space="preserve">"Check Quiver essentiality data: Is HTT (Huntington) essential in neuronal cells? Classify all variants as GoF (expansion repeats) vs. LoF (truncations)."</w:t>
      </w:r>
    </w:p>
    <w:p>
      <w:pPr>
        <w:pStyle w:val="bullets"/>
        <w:spacing w:after="100"/>
      </w:pPr>
      <w:r>
        <w:t xml:space="preserve">"Query UniProt for SMN1 functional domains; annotate missense variants that fall in RNA-binding or SMN-interaction domains as likely GoF or LoF."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bullets"/>
        <w:spacing w:after="80"/>
      </w:pPr>
      <w:r>
        <w:t xml:space="preserve">Functional classification table (variants × classification: LoF, GoF, splice-disrupting, dominant-negative)</w:t>
      </w:r>
    </w:p>
    <w:p>
      <w:pPr>
        <w:pStyle w:val="bullets"/>
        <w:spacing w:after="80"/>
      </w:pPr>
      <w:r>
        <w:t xml:space="preserve">Literature evidence summary (supporting citations, functional assay data, segregation patterns)</w:t>
      </w:r>
    </w:p>
    <w:p>
      <w:pPr>
        <w:pStyle w:val="bullets"/>
        <w:spacing w:after="100"/>
      </w:pPr>
      <w:r>
        <w:t xml:space="preserve">Gene-level mechanism summary (e.g., primarily LoF disease, GoF expansions, dominant-negative effects)</w:t>
      </w:r>
    </w:p>
    <w:p>
      <w:pPr>
        <w:spacing w:after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Annotated variant TSV with 'Functional_Class' column; literature reference JSON</w:t>
      </w:r>
    </w:p>
    <w:p>
      <w:pPr>
        <w:pStyle w:val="Heading2"/>
        <w:spacing w:before="300" w:after="200"/>
      </w:pPr>
      <w:r>
        <w:t xml:space="preserve">Stage 3: ASO Strategy Mapping</w:t>
      </w:r>
    </w:p>
    <w:p>
      <w:p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Map functional variant classes to candidate ASO strategies (exon-skipping for splice-site variants, allele-selective knockdown for missense, expression modulation for LoF).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bullets"/>
        <w:spacing w:after="80"/>
      </w:pPr>
      <w:r>
        <w:t xml:space="preserve">Functional classification output from Stage 2</w:t>
      </w:r>
    </w:p>
    <w:p>
      <w:pPr>
        <w:pStyle w:val="bullets"/>
        <w:spacing w:after="80"/>
      </w:pPr>
      <w:r>
        <w:t xml:space="preserve">Gene transcript structure (exon boundaries, splice junctions, conservation)</w:t>
      </w:r>
    </w:p>
    <w:p>
      <w:pPr>
        <w:pStyle w:val="bullets"/>
        <w:spacing w:after="100"/>
      </w:pPr>
      <w:r>
        <w:t xml:space="preserve">Variant allele information (SNP co-inheritance, discriminating SNPs)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bullets"/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Sapphire Logic Engine: </w:t>
      </w:r>
      <w:r>
        <w:rPr>
          <w:rFonts w:ascii="Arial" w:cs="Arial" w:eastAsia="Arial" w:hAnsi="Arial"/>
          <w:sz w:val="24"/>
          <w:szCs w:val="24"/>
        </w:rPr>
        <w:t xml:space="preserve">Internal rule engine mapping (variant type, functional class) → candidate ASO strategy. Rules: splice-disrupting vars → exon-skipping; GoF missense → allele-selective knockdown; LoF → expression enhancement (if applicable)</w:t>
      </w:r>
    </w:p>
    <w:p>
      <w:pPr>
        <w:pStyle w:val="bullets"/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GTEx: </w:t>
      </w:r>
      <w:r>
        <w:rPr>
          <w:rFonts w:ascii="Arial" w:cs="Arial" w:eastAsia="Arial" w:hAnsi="Arial"/>
          <w:sz w:val="24"/>
          <w:szCs w:val="24"/>
        </w:rPr>
        <w:t xml:space="preserve">Query tissue-specific expression profiles to prioritize target tissue (e.g., brain, muscle, liver) for ASO therapeutic window</w:t>
      </w:r>
    </w:p>
    <w:p>
      <w:pPr>
        <w:pStyle w:val="bullets"/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GENCODE/Ensembl: </w:t>
      </w:r>
      <w:r>
        <w:rPr>
          <w:rFonts w:ascii="Arial" w:cs="Arial" w:eastAsia="Arial" w:hAnsi="Arial"/>
          <w:sz w:val="24"/>
          <w:szCs w:val="24"/>
        </w:rPr>
        <w:t xml:space="preserve">Retrieve detailed exon-intron structure, alternative splicing patterns, and transcript isoforms; assess exon dependency and therapeutic targets</w:t>
      </w:r>
    </w:p>
    <w:p>
      <w:pPr>
        <w:pStyle w:val="bullets"/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Quiver Compound Atlas: </w:t>
      </w:r>
      <w:r>
        <w:rPr>
          <w:rFonts w:ascii="Arial" w:cs="Arial" w:eastAsia="Arial" w:hAnsi="Arial"/>
          <w:sz w:val="24"/>
          <w:szCs w:val="24"/>
        </w:rPr>
        <w:t xml:space="preserve">Query internal database of known ASO compounds (chemical structure, target site, therapeutic mechanism, pre-clinical data) for precedent strategies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bullets"/>
        <w:spacing w:after="80"/>
      </w:pPr>
      <w:r>
        <w:t xml:space="preserve">"Map SMN1 LoF variants to exon-skipping ASO strategies; query GTEx for tissue-specific expression and prioritize motor neuron/spinal cord for therapy."</w:t>
      </w:r>
    </w:p>
    <w:p>
      <w:pPr>
        <w:pStyle w:val="bullets"/>
        <w:spacing w:after="80"/>
      </w:pPr>
      <w:r>
        <w:t xml:space="preserve">"For HTT CAG-expansion (GoF) variants, recommend allele-selective knockdown targeting the pathogenic allele. Identify discriminating SNPs flanking the expansion."</w:t>
      </w:r>
    </w:p>
    <w:p>
      <w:pPr>
        <w:pStyle w:val="bullets"/>
        <w:spacing w:after="100"/>
      </w:pPr>
      <w:r>
        <w:t xml:space="preserve">"Classify BRCA1 truncation variants as LoF; recommend ASO-mediated exon-skipping to restore open reading frame (exon-skipping strategy)."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bullets"/>
        <w:spacing w:after="80"/>
      </w:pPr>
      <w:r>
        <w:t xml:space="preserve">ASO strategy table (variant → recommended strategy: exon-skipping, allele-selective KD, expression enhancement, stop-codon readthrough)</w:t>
      </w:r>
    </w:p>
    <w:p>
      <w:pPr>
        <w:pStyle w:val="bullets"/>
        <w:spacing w:after="80"/>
      </w:pPr>
      <w:r>
        <w:t xml:space="preserve">Tissue-expression summary (GTEx expression rank, therapeutic window assessment)</w:t>
      </w:r>
    </w:p>
    <w:p>
      <w:pPr>
        <w:pStyle w:val="bullets"/>
        <w:spacing w:after="100"/>
      </w:pPr>
      <w:r>
        <w:t xml:space="preserve">Isoform-level strategy justification (which exons to skip, which regions to target for allele-selective effects)</w:t>
      </w:r>
    </w:p>
    <w:p>
      <w:pPr>
        <w:spacing w:after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Strategy mapping TSV with columns: Variant, Strategy, Tissue_Priority, Isoform_Target</w:t>
      </w:r>
    </w:p>
    <w:p>
      <w:pPr>
        <w:pStyle w:val="Heading2"/>
        <w:spacing w:before="300" w:after="200"/>
      </w:pPr>
      <w:r>
        <w:t xml:space="preserve">Stage 4: Splice Site &amp; Target Region Analysis</w:t>
      </w:r>
    </w:p>
    <w:p>
      <w:p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Identify optimal ASO target sites (splice sites, exon-intron boundaries, splice-motif regions) and assess discriminating SNP availability for allele-selective designs.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bullets"/>
        <w:spacing w:after="80"/>
      </w:pPr>
      <w:r>
        <w:t xml:space="preserve">ASO strategy recommendations from Stage 3</w:t>
      </w:r>
    </w:p>
    <w:p>
      <w:pPr>
        <w:pStyle w:val="bullets"/>
        <w:spacing w:after="80"/>
      </w:pPr>
      <w:r>
        <w:t xml:space="preserve">Gene sequence (genomic and cDNA coordinates)</w:t>
      </w:r>
    </w:p>
    <w:p>
      <w:pPr>
        <w:pStyle w:val="bullets"/>
        <w:spacing w:after="100"/>
      </w:pPr>
      <w:r>
        <w:t xml:space="preserve">Known disease-causing variants with linked SNPs for allele-selective targeting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bullets"/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Ensembl REST API: </w:t>
      </w:r>
      <w:r>
        <w:rPr>
          <w:rFonts w:ascii="Arial" w:cs="Arial" w:eastAsia="Arial" w:hAnsi="Arial"/>
          <w:sz w:val="24"/>
          <w:szCs w:val="24"/>
        </w:rPr>
        <w:t xml:space="preserve">Query genomic coordinates, retrieve exon-intron junction sequences, and fetch annotated splice sites</w:t>
      </w:r>
    </w:p>
    <w:p>
      <w:pPr>
        <w:pStyle w:val="bullets"/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ESEfinder/SpliceAid: </w:t>
      </w:r>
      <w:r>
        <w:rPr>
          <w:rFonts w:ascii="Arial" w:cs="Arial" w:eastAsia="Arial" w:hAnsi="Arial"/>
          <w:sz w:val="24"/>
          <w:szCs w:val="24"/>
        </w:rPr>
        <w:t xml:space="preserve">Predict exonic splicing enhancer (ESE) and silencer (ESS) motifs; identify conserved splicing regulatory elements in target regions</w:t>
      </w:r>
    </w:p>
    <w:p>
      <w:pPr>
        <w:pStyle w:val="bullets"/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RNAfold: </w:t>
      </w:r>
      <w:r>
        <w:rPr>
          <w:rFonts w:ascii="Arial" w:cs="Arial" w:eastAsia="Arial" w:hAnsi="Arial"/>
          <w:sz w:val="24"/>
          <w:szCs w:val="24"/>
        </w:rPr>
        <w:t xml:space="preserve">Predict secondary structure of pre-mRNA; ensure ASO target sites are accessible (low structural stability, high breakability index)</w:t>
      </w:r>
    </w:p>
    <w:p>
      <w:pPr>
        <w:pStyle w:val="bullets"/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Quiver ASO Design Module: </w:t>
      </w:r>
      <w:r>
        <w:rPr>
          <w:rFonts w:ascii="Arial" w:cs="Arial" w:eastAsia="Arial" w:hAnsi="Arial"/>
          <w:sz w:val="24"/>
          <w:szCs w:val="24"/>
        </w:rPr>
        <w:t xml:space="preserve">Internal tool to predict ASO binding affinity (Tm, ΔG), optimal oligo length (18–25 nt), and chemistries (gapmer, PS-backbone)</w:t>
      </w:r>
    </w:p>
    <w:p>
      <w:pPr>
        <w:pStyle w:val="bullets"/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dbSNP/gnomAD: </w:t>
      </w:r>
      <w:r>
        <w:rPr>
          <w:rFonts w:ascii="Arial" w:cs="Arial" w:eastAsia="Arial" w:hAnsi="Arial"/>
          <w:sz w:val="24"/>
          <w:szCs w:val="24"/>
        </w:rPr>
        <w:t xml:space="preserve">Identify common SNPs co-segregating with disease variants; assess feasibility of allele-selective ASO targeting (SNP within ASO target site)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bullets"/>
        <w:spacing w:after="80"/>
      </w:pPr>
      <w:r>
        <w:t xml:space="preserve">"Identify all exon-intron junctions in SMN1 exon 7 (therapeutic target for SMA); predict ESE/ESS motifs and RNAfold accessibility for ASO binding."</w:t>
      </w:r>
    </w:p>
    <w:p>
      <w:pPr>
        <w:pStyle w:val="bullets"/>
        <w:spacing w:after="80"/>
      </w:pPr>
      <w:r>
        <w:t xml:space="preserve">"For HTT CAG-expansion variants, find discriminating SNPs within 100 bp of the repeat region; assess whether ASO can selectively target pathogenic allele."</w:t>
      </w:r>
    </w:p>
    <w:p>
      <w:pPr>
        <w:pStyle w:val="bullets"/>
        <w:spacing w:after="100"/>
      </w:pPr>
      <w:r>
        <w:t xml:space="preserve">"Design 18–25 nt ASO oligos targeting BRCA1 exon 14 (for exon-skipping); calculate Tm, secondary structure stability, and GC content."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bullets"/>
        <w:spacing w:after="80"/>
      </w:pPr>
      <w:r>
        <w:t xml:space="preserve">Target-site coordinate list (genomic and cDNA positions, sequence context, accessibility score)</w:t>
      </w:r>
    </w:p>
    <w:p>
      <w:pPr>
        <w:pStyle w:val="bullets"/>
        <w:spacing w:after="80"/>
      </w:pPr>
      <w:r>
        <w:t xml:space="preserve">Candidate ASO sequences (18–25 nt, Tm, predicted binding affinity, chemistry recommendation)</w:t>
      </w:r>
    </w:p>
    <w:p>
      <w:pPr>
        <w:pStyle w:val="bullets"/>
        <w:spacing w:after="100"/>
      </w:pPr>
      <w:r>
        <w:t xml:space="preserve">Allele-selectivity assessment (discriminating SNP availability, selectivity ratio estimate)</w:t>
      </w:r>
    </w:p>
    <w:p>
      <w:pPr>
        <w:spacing w:after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FASTA file with candidate ASO sequences; detailed target-site table with structure predictions</w:t>
      </w:r>
    </w:p>
    <w:p>
      <w:pPr>
        <w:pStyle w:val="Heading2"/>
        <w:spacing w:before="300" w:after="200"/>
      </w:pPr>
      <w:r>
        <w:t xml:space="preserve">Stage 5: Safety &amp; Off-Target Assessment</w:t>
      </w:r>
    </w:p>
    <w:p>
      <w:p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Evaluate off-target binding potential, immunogenicity, and gene essentiality to ensure ASO safety and minimize unintended consequences.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bullets"/>
        <w:spacing w:after="80"/>
      </w:pPr>
      <w:r>
        <w:t xml:space="preserve">Candidate ASO sequences from Stage 4</w:t>
      </w:r>
    </w:p>
    <w:p>
      <w:pPr>
        <w:pStyle w:val="bullets"/>
        <w:spacing w:after="80"/>
      </w:pPr>
      <w:r>
        <w:t xml:space="preserve">Human genome and transcriptome sequences</w:t>
      </w:r>
    </w:p>
    <w:p>
      <w:pPr>
        <w:pStyle w:val="bullets"/>
        <w:spacing w:after="100"/>
      </w:pPr>
      <w:r>
        <w:t xml:space="preserve">Target gene essentiality data, target tissue context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bullets"/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BLAST/Bowtie2: </w:t>
      </w:r>
      <w:r>
        <w:rPr>
          <w:rFonts w:ascii="Arial" w:cs="Arial" w:eastAsia="Arial" w:hAnsi="Arial"/>
          <w:sz w:val="24"/>
          <w:szCs w:val="24"/>
        </w:rPr>
        <w:t xml:space="preserve">Perform sequence homology search against human transcriptome; identify near-perfect (18–20/20 bp match) and partial (15–17/20) off-target sites with mismatch analysis</w:t>
      </w:r>
    </w:p>
    <w:p>
      <w:pPr>
        <w:pStyle w:val="bullets"/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Quiver EP Toxicity Atlas: </w:t>
      </w:r>
      <w:r>
        <w:rPr>
          <w:rFonts w:ascii="Arial" w:cs="Arial" w:eastAsia="Arial" w:hAnsi="Arial"/>
          <w:sz w:val="24"/>
          <w:szCs w:val="24"/>
        </w:rPr>
        <w:t xml:space="preserve">Query internal database of ASO-induced immune activation (IFN-β, IL-6, TNF-α response profiles) for identified off-targets; score immunogenic potential</w:t>
      </w:r>
    </w:p>
    <w:p>
      <w:pPr>
        <w:pStyle w:val="bullets"/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DepMap: </w:t>
      </w:r>
      <w:r>
        <w:rPr>
          <w:rFonts w:ascii="Arial" w:cs="Arial" w:eastAsia="Arial" w:hAnsi="Arial"/>
          <w:sz w:val="24"/>
          <w:szCs w:val="24"/>
        </w:rPr>
        <w:t xml:space="preserve">Query CRISPR essentiality scores for off-target genes in relevant cell types (e.g., motor neurons, muscle); assess functional impact if off-target is knocked down</w:t>
      </w:r>
    </w:p>
    <w:p>
      <w:pPr>
        <w:pStyle w:val="bullets"/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ASO Safety Literature/PubMed: </w:t>
      </w:r>
      <w:r>
        <w:rPr>
          <w:rFonts w:ascii="Arial" w:cs="Arial" w:eastAsia="Arial" w:hAnsi="Arial"/>
          <w:sz w:val="24"/>
          <w:szCs w:val="24"/>
        </w:rPr>
        <w:t xml:space="preserve">Literature mining for known adverse effects of structurally similar ASOs; identify chemistries with improved safety profiles (e.g., MOE, PMO over first-gen PS backbone)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bullets"/>
        <w:spacing w:after="80"/>
      </w:pPr>
      <w:r>
        <w:t xml:space="preserve">"BLAST candidate SMN1 ASO against human transcriptome; rank off-targets by homology; discard ASOs with &gt;2 near-perfect off-target sites."</w:t>
      </w:r>
    </w:p>
    <w:p>
      <w:pPr>
        <w:pStyle w:val="bullets"/>
        <w:spacing w:after="80"/>
      </w:pPr>
      <w:r>
        <w:t xml:space="preserve">"Query DepMap for essentiality of top 5 off-target genes in motor neurons and muscle tissue; assess toxicity risk."</w:t>
      </w:r>
    </w:p>
    <w:p>
      <w:pPr>
        <w:pStyle w:val="bullets"/>
        <w:spacing w:after="100"/>
      </w:pPr>
      <w:r>
        <w:t xml:space="preserve">"Predict immune activation potential (Toll-like receptor 3/7 recognition) for final ASO candidates; recommend gapmer chemistry with MOE modifications."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bullets"/>
        <w:spacing w:after="80"/>
      </w:pPr>
      <w:r>
        <w:t xml:space="preserve">Off-target report (ASO × off-target genes, homology score, estimated binding affinity, DepMap essentiality rank)</w:t>
      </w:r>
    </w:p>
    <w:p>
      <w:pPr>
        <w:pStyle w:val="bullets"/>
        <w:spacing w:after="80"/>
      </w:pPr>
      <w:r>
        <w:t xml:space="preserve">Immunogenicity risk score (predicted TLR activation, CpG content, prior adverse event literature)</w:t>
      </w:r>
    </w:p>
    <w:p>
      <w:pPr>
        <w:pStyle w:val="bullets"/>
        <w:spacing w:after="100"/>
      </w:pPr>
      <w:r>
        <w:t xml:space="preserve">Chemistry recommendation (PS backbone, MOE, PMO modifications based on safety profile)</w:t>
      </w:r>
    </w:p>
    <w:p>
      <w:pPr>
        <w:spacing w:after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Off-target TSV; safety risk matrix (ASO × safety metric); chemistry recommendation JSON</w:t>
      </w:r>
    </w:p>
    <w:p>
      <w:pPr>
        <w:pStyle w:val="Heading2"/>
        <w:spacing w:before="300" w:after="200"/>
      </w:pPr>
      <w:r>
        <w:t xml:space="preserve">Stage 6: Integration &amp; Prioritization</w:t>
      </w:r>
    </w:p>
    <w:p>
      <w:p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Synthesize all pipeline outputs into a final, prioritized ASO strategy recommendation with composite scoring, patent/IP landscape context, and clinical trial precedent.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bullets"/>
        <w:spacing w:after="80"/>
      </w:pPr>
      <w:r>
        <w:t xml:space="preserve">All outputs from Stages 1–5 (variant classification, functional mechanisms, ASO strategies, target sites, safety assessments)</w:t>
      </w:r>
    </w:p>
    <w:p>
      <w:pPr>
        <w:pStyle w:val="bullets"/>
        <w:spacing w:after="80"/>
      </w:pPr>
      <w:r>
        <w:t xml:space="preserve">Patent and IP landscape data</w:t>
      </w:r>
    </w:p>
    <w:p>
      <w:pPr>
        <w:pStyle w:val="bullets"/>
        <w:spacing w:after="100"/>
      </w:pPr>
      <w:r>
        <w:t xml:space="preserve">Clinical trial precedent for similar gene/indication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bullets"/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Sapphire Integration Engine: </w:t>
      </w:r>
      <w:r>
        <w:rPr>
          <w:rFonts w:ascii="Arial" w:cs="Arial" w:eastAsia="Arial" w:hAnsi="Arial"/>
          <w:sz w:val="24"/>
          <w:szCs w:val="24"/>
        </w:rPr>
        <w:t xml:space="preserve">Internal ML/scoring system to compute composite priority score for each ASO candidate: weighted combination of (variant prevalence, functional importance, ASO targeting efficacy, off-target risk, immunogenicity, chemistry maturity)</w:t>
      </w:r>
    </w:p>
    <w:p>
      <w:pPr>
        <w:pStyle w:val="bullets"/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Patent Landscape (Lens.org, Google Patents): </w:t>
      </w:r>
      <w:r>
        <w:rPr>
          <w:rFonts w:ascii="Arial" w:cs="Arial" w:eastAsia="Arial" w:hAnsi="Arial"/>
          <w:sz w:val="24"/>
          <w:szCs w:val="24"/>
        </w:rPr>
        <w:t xml:space="preserve">Search for existing patents covering target gene ASO designs, chemistry, and specific variant targeting; assess freedom-to-operate (FTO) risk</w:t>
      </w:r>
    </w:p>
    <w:p>
      <w:pPr>
        <w:pStyle w:val="bullets"/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ClinicalTrials.gov: </w:t>
      </w:r>
      <w:r>
        <w:rPr>
          <w:rFonts w:ascii="Arial" w:cs="Arial" w:eastAsia="Arial" w:hAnsi="Arial"/>
          <w:sz w:val="24"/>
          <w:szCs w:val="24"/>
        </w:rPr>
        <w:t xml:space="preserve">Search for ongoing or completed ASO trials for the same gene/disease; identify regulatory pathway precedent, trial outcomes, dose escalation, and safety profile data</w:t>
      </w:r>
    </w:p>
    <w:p>
      <w:pPr>
        <w:pStyle w:val="bullets"/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Quiver Confidence Scoring: </w:t>
      </w:r>
      <w:r>
        <w:rPr>
          <w:rFonts w:ascii="Arial" w:cs="Arial" w:eastAsia="Arial" w:hAnsi="Arial"/>
          <w:sz w:val="24"/>
          <w:szCs w:val="24"/>
        </w:rPr>
        <w:t xml:space="preserve">Internal confidence metric based on data completeness (variant evidence depth, functional literature, ASO design maturity, preclinical precedent)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bullets"/>
        <w:spacing w:after="80"/>
      </w:pPr>
      <w:r>
        <w:t xml:space="preserve">"Rank all SMN1 exon-skipping ASO candidates by composite score (variant prevalence, targeting specificity, off-target risk, immunogenicity); return top 3 with rationale."</w:t>
      </w:r>
    </w:p>
    <w:p>
      <w:pPr>
        <w:pStyle w:val="bullets"/>
        <w:spacing w:after="80"/>
      </w:pPr>
      <w:r>
        <w:t xml:space="preserve">"Search Lens.org and Google Patents for existing ASO patents targeting HTT; document FTO landscape and any competing IP."</w:t>
      </w:r>
    </w:p>
    <w:p>
      <w:pPr>
        <w:pStyle w:val="bullets"/>
        <w:spacing w:after="100"/>
      </w:pPr>
      <w:r>
        <w:t xml:space="preserve">"Query ClinicalTrials.gov for BRCA1 ASO trials (if any); extract dose, efficacy endpoints, adverse events to inform our trial design."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bullets"/>
        <w:spacing w:after="80"/>
      </w:pPr>
      <w:r>
        <w:t xml:space="preserve">Final prioritized ASO strategy report (top 1–3 candidates ranked, with full justification, composite scores)</w:t>
      </w:r>
    </w:p>
    <w:p>
      <w:pPr>
        <w:pStyle w:val="bullets"/>
        <w:spacing w:after="80"/>
      </w:pPr>
      <w:r>
        <w:t xml:space="preserve">Patent/IP landscape summary (existing patents, freedom-to-operate assessment, licensing opportunities)</w:t>
      </w:r>
    </w:p>
    <w:p>
      <w:pPr>
        <w:pStyle w:val="bullets"/>
        <w:spacing w:after="80"/>
      </w:pPr>
      <w:r>
        <w:t xml:space="preserve">Clinical trial precedent summary (similar gene/disease trials, outcomes, regulatory pathways, recommended next steps)</w:t>
      </w:r>
    </w:p>
    <w:p>
      <w:pPr>
        <w:pStyle w:val="bullets"/>
        <w:spacing w:after="100"/>
      </w:pPr>
      <w:r>
        <w:t xml:space="preserve">Confidence score (overall pipeline confidence, data completeness, identified gaps for future research)</w:t>
      </w:r>
    </w:p>
    <w:p>
      <w:pPr>
        <w:spacing w:after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Executive summary PDF/markdown; detailed strategy TSV with scoring rationale; patent/clinical data JSON</w:t>
      </w:r>
    </w:p>
    <w:p>
      <w:pPr>
        <w:pStyle w:val="Heading2"/>
        <w:spacing w:before="300" w:after="200"/>
      </w:pPr>
      <w:r>
        <w:t xml:space="preserve">Tools &amp; Databases Summary</w:t>
      </w:r>
    </w:p>
    <w:p>
      <w:pPr>
        <w:pStyle w:val="bullets"/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ClinVar: </w:t>
      </w:r>
      <w:r>
        <w:rPr>
          <w:rFonts w:ascii="Arial" w:cs="Arial" w:eastAsia="Arial" w:hAnsi="Arial"/>
          <w:sz w:val="24"/>
          <w:szCs w:val="24"/>
        </w:rPr>
        <w:t xml:space="preserve">Gold-standard variant-pathogenicity repository; enables retrieval of P/LP classifications and assertion evidence</w:t>
      </w:r>
    </w:p>
    <w:p>
      <w:pPr>
        <w:pStyle w:val="bullets"/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gnomAD: </w:t>
      </w:r>
      <w:r>
        <w:rPr>
          <w:rFonts w:ascii="Arial" w:cs="Arial" w:eastAsia="Arial" w:hAnsi="Arial"/>
          <w:sz w:val="24"/>
          <w:szCs w:val="24"/>
        </w:rPr>
        <w:t xml:space="preserve">Population allele frequency database; filters rare variants and distinguishes disease-causing from benign polymorphisms</w:t>
      </w:r>
    </w:p>
    <w:p>
      <w:pPr>
        <w:pStyle w:val="bullets"/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OMIM: </w:t>
      </w:r>
      <w:r>
        <w:rPr>
          <w:rFonts w:ascii="Arial" w:cs="Arial" w:eastAsia="Arial" w:hAnsi="Arial"/>
          <w:sz w:val="24"/>
          <w:szCs w:val="24"/>
        </w:rPr>
        <w:t xml:space="preserve">Comprehensive phenotype-genotype and inheritance pattern database; contextualizes gene function and disease mechanism</w:t>
      </w:r>
    </w:p>
    <w:p>
      <w:pPr>
        <w:pStyle w:val="bullets"/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Ensembl VEP: </w:t>
      </w:r>
      <w:r>
        <w:rPr>
          <w:rFonts w:ascii="Arial" w:cs="Arial" w:eastAsia="Arial" w:hAnsi="Arial"/>
          <w:sz w:val="24"/>
          <w:szCs w:val="24"/>
        </w:rPr>
        <w:t xml:space="preserve">Variant consequence annotation tool; predicts molecular impact (missense, frameshift, splice-site) on protein and transcript</w:t>
      </w:r>
    </w:p>
    <w:p>
      <w:pPr>
        <w:pStyle w:val="bullets"/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SpliceAI: </w:t>
      </w:r>
      <w:r>
        <w:rPr>
          <w:rFonts w:ascii="Arial" w:cs="Arial" w:eastAsia="Arial" w:hAnsi="Arial"/>
          <w:sz w:val="24"/>
          <w:szCs w:val="24"/>
        </w:rPr>
        <w:t xml:space="preserve">Deep learning splice-site disruption predictor; accurately identifies variants that disrupt canonical splice sites</w:t>
      </w:r>
    </w:p>
    <w:p>
      <w:pPr>
        <w:pStyle w:val="bullets"/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UniProt: </w:t>
      </w:r>
      <w:r>
        <w:rPr>
          <w:rFonts w:ascii="Arial" w:cs="Arial" w:eastAsia="Arial" w:hAnsi="Arial"/>
          <w:sz w:val="24"/>
          <w:szCs w:val="24"/>
        </w:rPr>
        <w:t xml:space="preserve">Protein annotation and domain database; maps missense variants to functional domains and active sites</w:t>
      </w:r>
    </w:p>
    <w:p>
      <w:pPr>
        <w:pStyle w:val="bullets"/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NCBI Gene/RefSeq: </w:t>
      </w:r>
      <w:r>
        <w:rPr>
          <w:rFonts w:ascii="Arial" w:cs="Arial" w:eastAsia="Arial" w:hAnsi="Arial"/>
          <w:sz w:val="24"/>
          <w:szCs w:val="24"/>
        </w:rPr>
        <w:t xml:space="preserve">Reference gene sequences and annotations; provides canonical transcript coordinates and functional summaries</w:t>
      </w:r>
    </w:p>
    <w:p>
      <w:pPr>
        <w:pStyle w:val="bullets"/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PubMed/LitVar: </w:t>
      </w:r>
      <w:r>
        <w:rPr>
          <w:rFonts w:ascii="Arial" w:cs="Arial" w:eastAsia="Arial" w:hAnsi="Arial"/>
          <w:sz w:val="24"/>
          <w:szCs w:val="24"/>
        </w:rPr>
        <w:t xml:space="preserve">Literature mining for variant-specific functional data, clinical outcomes, and mechanistic insights</w:t>
      </w:r>
    </w:p>
    <w:p>
      <w:pPr>
        <w:pStyle w:val="bullets"/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Quiver Internal CRISPR EP Atlas: </w:t>
      </w:r>
      <w:r>
        <w:rPr>
          <w:rFonts w:ascii="Arial" w:cs="Arial" w:eastAsia="Arial" w:hAnsi="Arial"/>
          <w:sz w:val="24"/>
          <w:szCs w:val="24"/>
        </w:rPr>
        <w:t xml:space="preserve">Proprietary essentiality and expression phenotype data; contextualizes gene function in relevant cell types</w:t>
      </w:r>
    </w:p>
    <w:p>
      <w:pPr>
        <w:pStyle w:val="bullets"/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LOVD: </w:t>
      </w:r>
      <w:r>
        <w:rPr>
          <w:rFonts w:ascii="Arial" w:cs="Arial" w:eastAsia="Arial" w:hAnsi="Arial"/>
          <w:sz w:val="24"/>
          <w:szCs w:val="24"/>
        </w:rPr>
        <w:t xml:space="preserve">Gene-specific mutation database with detailed phenotypic and segregation data; validates disease causality</w:t>
      </w:r>
    </w:p>
    <w:p>
      <w:pPr>
        <w:pStyle w:val="bullets"/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GTEx: </w:t>
      </w:r>
      <w:r>
        <w:rPr>
          <w:rFonts w:ascii="Arial" w:cs="Arial" w:eastAsia="Arial" w:hAnsi="Arial"/>
          <w:sz w:val="24"/>
          <w:szCs w:val="24"/>
        </w:rPr>
        <w:t xml:space="preserve">Tissue-specific expression resource; prioritizes therapeutic window (tissues expressing target gene and relevant to disease)</w:t>
      </w:r>
    </w:p>
    <w:p>
      <w:pPr>
        <w:pStyle w:val="bullets"/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GENCODE/Ensembl: </w:t>
      </w:r>
      <w:r>
        <w:rPr>
          <w:rFonts w:ascii="Arial" w:cs="Arial" w:eastAsia="Arial" w:hAnsi="Arial"/>
          <w:sz w:val="24"/>
          <w:szCs w:val="24"/>
        </w:rPr>
        <w:t xml:space="preserve">Gene and transcript structure; enables exon-level ASO design and isoform-specific targeting</w:t>
      </w:r>
    </w:p>
    <w:p>
      <w:pPr>
        <w:pStyle w:val="bullets"/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Quiver Compound Atlas: </w:t>
      </w:r>
      <w:r>
        <w:rPr>
          <w:rFonts w:ascii="Arial" w:cs="Arial" w:eastAsia="Arial" w:hAnsi="Arial"/>
          <w:sz w:val="24"/>
          <w:szCs w:val="24"/>
        </w:rPr>
        <w:t xml:space="preserve">Internal library of ASO compounds with chemistry, target sites, and pre-clinical efficacy data; identifies precedent strategies</w:t>
      </w:r>
    </w:p>
    <w:p>
      <w:pPr>
        <w:pStyle w:val="bullets"/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ESEfinder/SpliceAid: </w:t>
      </w:r>
      <w:r>
        <w:rPr>
          <w:rFonts w:ascii="Arial" w:cs="Arial" w:eastAsia="Arial" w:hAnsi="Arial"/>
          <w:sz w:val="24"/>
          <w:szCs w:val="24"/>
        </w:rPr>
        <w:t xml:space="preserve">Splice regulatory motif prediction; identifies ESE/ESS elements and conserved splice signals for optimal ASO targeting</w:t>
      </w:r>
    </w:p>
    <w:p>
      <w:pPr>
        <w:pStyle w:val="bullets"/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RNAfold: </w:t>
      </w:r>
      <w:r>
        <w:rPr>
          <w:rFonts w:ascii="Arial" w:cs="Arial" w:eastAsia="Arial" w:hAnsi="Arial"/>
          <w:sz w:val="24"/>
          <w:szCs w:val="24"/>
        </w:rPr>
        <w:t xml:space="preserve">RNA secondary structure predictor; ensures ASO target sites are accessible for binding</w:t>
      </w:r>
    </w:p>
    <w:p>
      <w:pPr>
        <w:pStyle w:val="bullets"/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Quiver ASO Design Module: </w:t>
      </w:r>
      <w:r>
        <w:rPr>
          <w:rFonts w:ascii="Arial" w:cs="Arial" w:eastAsia="Arial" w:hAnsi="Arial"/>
          <w:sz w:val="24"/>
          <w:szCs w:val="24"/>
        </w:rPr>
        <w:t xml:space="preserve">Proprietary ASO thermodynamic and structural modeling; predicts binding affinity, optimal length, and chemistry recommendations</w:t>
      </w:r>
    </w:p>
    <w:p>
      <w:pPr>
        <w:pStyle w:val="bullets"/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dbSNP/gnomAD: </w:t>
      </w:r>
      <w:r>
        <w:rPr>
          <w:rFonts w:ascii="Arial" w:cs="Arial" w:eastAsia="Arial" w:hAnsi="Arial"/>
          <w:sz w:val="24"/>
          <w:szCs w:val="24"/>
        </w:rPr>
        <w:t xml:space="preserve">SNP databases; identifies discriminating polymorphisms for allele-selective ASO design</w:t>
      </w:r>
    </w:p>
    <w:p>
      <w:pPr>
        <w:pStyle w:val="bullets"/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BLAST/Bowtie2: </w:t>
      </w:r>
      <w:r>
        <w:rPr>
          <w:rFonts w:ascii="Arial" w:cs="Arial" w:eastAsia="Arial" w:hAnsi="Arial"/>
          <w:sz w:val="24"/>
          <w:szCs w:val="24"/>
        </w:rPr>
        <w:t xml:space="preserve">Sequence alignment tools; identifies potential off-target binding sites and evaluates specificity of ASO candidates</w:t>
      </w:r>
    </w:p>
    <w:p>
      <w:pPr>
        <w:pStyle w:val="bullets"/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Quiver EP Toxicity Atlas: </w:t>
      </w:r>
      <w:r>
        <w:rPr>
          <w:rFonts w:ascii="Arial" w:cs="Arial" w:eastAsia="Arial" w:hAnsi="Arial"/>
          <w:sz w:val="24"/>
          <w:szCs w:val="24"/>
        </w:rPr>
        <w:t xml:space="preserve">Proprietary ASO immunogenicity and toxicity database; predicts off-target-mediated adverse effects</w:t>
      </w:r>
    </w:p>
    <w:p>
      <w:pPr>
        <w:pStyle w:val="bullets"/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DepMap: </w:t>
      </w:r>
      <w:r>
        <w:rPr>
          <w:rFonts w:ascii="Arial" w:cs="Arial" w:eastAsia="Arial" w:hAnsi="Arial"/>
          <w:sz w:val="24"/>
          <w:szCs w:val="24"/>
        </w:rPr>
        <w:t xml:space="preserve">CRISPR essentiality scores for human genes in diverse cell types; assesses functional impact of off-target knockdown</w:t>
      </w:r>
    </w:p>
    <w:p>
      <w:pPr>
        <w:pStyle w:val="bullets"/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Patent Landscape (Lens.org, Google Patents): </w:t>
      </w:r>
      <w:r>
        <w:rPr>
          <w:rFonts w:ascii="Arial" w:cs="Arial" w:eastAsia="Arial" w:hAnsi="Arial"/>
          <w:sz w:val="24"/>
          <w:szCs w:val="24"/>
        </w:rPr>
        <w:t xml:space="preserve">Patent search platforms; identifies existing IP covering target gene ASOs and informs freedom-to-operate strategy</w:t>
      </w:r>
    </w:p>
    <w:p>
      <w:pPr>
        <w:pStyle w:val="bullets"/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ClinicalTrials.gov: </w:t>
      </w:r>
      <w:r>
        <w:rPr>
          <w:rFonts w:ascii="Arial" w:cs="Arial" w:eastAsia="Arial" w:hAnsi="Arial"/>
          <w:sz w:val="24"/>
          <w:szCs w:val="24"/>
        </w:rPr>
        <w:t xml:space="preserve">Clinical trial registry; provides precedent for similar gene/disease therapies and regulatory pathway insights</w:t>
      </w:r>
    </w:p>
    <w:p>
      <w:pPr>
        <w:pStyle w:val="bullets"/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Sapphire Logic Engine: </w:t>
      </w:r>
      <w:r>
        <w:rPr>
          <w:rFonts w:ascii="Arial" w:cs="Arial" w:eastAsia="Arial" w:hAnsi="Arial"/>
          <w:sz w:val="24"/>
          <w:szCs w:val="24"/>
        </w:rPr>
        <w:t xml:space="preserve">Proprietary rule-based system for mapping variant types and functional classes to ASO therapeutic strategies</w:t>
      </w:r>
    </w:p>
    <w:p>
      <w:pPr>
        <w:pStyle w:val="bullets"/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Sapphire Integration Engine: </w:t>
      </w:r>
      <w:r>
        <w:rPr>
          <w:rFonts w:ascii="Arial" w:cs="Arial" w:eastAsia="Arial" w:hAnsi="Arial"/>
          <w:sz w:val="24"/>
          <w:szCs w:val="24"/>
        </w:rPr>
        <w:t xml:space="preserve">Proprietary ML/scoring system for composite prioritization of ASO candidates; aggregates evidence across all pipeline stages</w:t>
      </w:r>
    </w:p>
    <w:p>
      <w:pPr>
        <w:pStyle w:val="bullets"/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Quiver Confidence Scoring: </w:t>
      </w:r>
      <w:r>
        <w:rPr>
          <w:rFonts w:ascii="Arial" w:cs="Arial" w:eastAsia="Arial" w:hAnsi="Arial"/>
          <w:sz w:val="24"/>
          <w:szCs w:val="24"/>
        </w:rPr>
        <w:t xml:space="preserve">Proprietary metric assessing overall pipeline confidence based on data completeness and evidence depth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•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20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2026-02-18T20:41:29.570Z</dcterms:created>
  <dcterms:modified xsi:type="dcterms:W3CDTF">2026-02-18T20:41:29.570Z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