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</w:t>
      </w:r>
    </w:p>
    <w:p>
      <w:pPr>
        <w:spacing w:before="2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Prompt: </w:t>
      </w:r>
      <w:r>
        <w:rPr>
          <w:rFonts w:ascii="Arial" w:cs="Arial" w:eastAsia="Arial" w:hAnsi="Arial"/>
          <w:sz w:val="28"/>
          <w:szCs w:val="28"/>
        </w:rPr>
        <w:t xml:space="preserve">"What is the predicted minimal knockdown threshold needed for phenotypic rescue/efficacy based on human neuronal phenotypes?"</w:t>
      </w:r>
    </w:p>
    <w:p>
      <w:pPr>
        <w:spacing w:after="300" w:line="360"/>
      </w:pPr>
      <w:r>
        <w:rPr>
          <w:rFonts w:ascii="Arial" w:cs="Arial" w:eastAsia="Arial" w:hAnsi="Arial"/>
          <w:sz w:val="24"/>
          <w:szCs w:val="24"/>
        </w:rPr>
        <w:t xml:space="preserve">This document defines the complete Sapphire pipeline — the sequential stages, tools called, external datasets used, inputs, outputs, and decision logic — required to deliver a valid, actionable answer to this prompt.</w:t>
      </w:r>
    </w:p>
    <w:p>
      <w:pPr>
        <w:spacing w:before="3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300" w:line="360"/>
      </w:pPr>
      <w:r>
        <w:rPr>
          <w:rFonts w:ascii="Arial" w:cs="Arial" w:eastAsia="Arial" w:hAnsi="Arial"/>
          <w:sz w:val="24"/>
          <w:szCs w:val="24"/>
        </w:rPr>
        <w:t xml:space="preserve">This pipeline determines the minimal gene knockdown needed for therapeutic benefit in human neuronal systems. It integrates gene characterization, dose-response profiling, human genetic evidence, literature analysis, computational modeling, and confidence assessment to predict the knockdown threshold required for phenotypic rescue.</w:t>
      </w:r>
    </w:p>
    <w:p>
      <w:pPr>
        <w:spacing w:after="300" w:line="360"/>
      </w:pPr>
      <w:r>
        <w:rPr>
          <w:rFonts w:ascii="Arial" w:cs="Arial" w:eastAsia="Arial" w:hAnsi="Arial"/>
          <w:sz w:val="24"/>
          <w:szCs w:val="24"/>
        </w:rPr>
        <w:t xml:space="preserve">The six-stage workflow combines mechanistic understanding of gene function with empirical data from CRISPR perturbation experiments, human genetic variation, and published therapeutic studies to generate a data-driven prediction of efficacy thresholds specific to human neuronal phenotypes.</w:t>
      </w:r>
    </w:p>
    <w:p>
      <w:pPr>
        <w:spacing w:before="3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Gene &amp; Disease Phenotype Characterization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Retrieve gene function, disease mechanism (gain-of-function vs. loss-of-function), and known animal model dose-response data to establish baseline knockdown requirements.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Disease gene identifier (HGNC symbol or Entrez ID)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Phenotypic endpoint(s) of interest (neuronal subtype, disease mechanism)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Disease context (genetic background, tissue type, developmental stage)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OMIM</w:t>
      </w:r>
      <w:r>
        <w:rPr>
          <w:rFonts w:ascii="Arial" w:cs="Arial" w:eastAsia="Arial" w:hAnsi="Arial"/>
          <w:sz w:val="24"/>
          <w:szCs w:val="24"/>
        </w:rPr>
        <w:t xml:space="preserve"> — Clinical phenotype-genotype relationships and inheritance patterns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NCBI Gene</w:t>
      </w:r>
      <w:r>
        <w:rPr>
          <w:rFonts w:ascii="Arial" w:cs="Arial" w:eastAsia="Arial" w:hAnsi="Arial"/>
          <w:sz w:val="24"/>
          <w:szCs w:val="24"/>
        </w:rPr>
        <w:t xml:space="preserve"> — Gene function, orthology, and molecular interactions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UniProt</w:t>
      </w:r>
      <w:r>
        <w:rPr>
          <w:rFonts w:ascii="Arial" w:cs="Arial" w:eastAsia="Arial" w:hAnsi="Arial"/>
          <w:sz w:val="24"/>
          <w:szCs w:val="24"/>
        </w:rPr>
        <w:t xml:space="preserve"> — Protein function, localization, and post-translational modifications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PubMed</w:t>
      </w:r>
      <w:r>
        <w:rPr>
          <w:rFonts w:ascii="Arial" w:cs="Arial" w:eastAsia="Arial" w:hAnsi="Arial"/>
          <w:sz w:val="24"/>
          <w:szCs w:val="24"/>
        </w:rPr>
        <w:t xml:space="preserve"> — Literature on gene function, disease pathways, and animal model studies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Mouse Genome Informatics (MGI)</w:t>
      </w:r>
      <w:r>
        <w:rPr>
          <w:rFonts w:ascii="Arial" w:cs="Arial" w:eastAsia="Arial" w:hAnsi="Arial"/>
          <w:sz w:val="24"/>
          <w:szCs w:val="24"/>
        </w:rPr>
        <w:t xml:space="preserve"> — Mouse knockdown/knockout phenotypes and dose-response data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What is the molecular function and cellular localization of [gene]?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Is [gene] loss-of-function or gain-of-function in [disease]?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What dose-response phenotypes are observed in mouse [gene] knockdown or knockout models?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Gene function summary and mechanism of disease (GoF vs. LoF)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Cellular and tissue-specific expression profile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Animal model knockdown phenotypes and approximate dose-response thresholds (if available)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Preliminary assessment of knockdown requirement (full loss-of-function vs. partial knockdown)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Structured summary: gene name, function, disease mechanism (GoF/LoF), tissue expression, known animal model thresholds, preliminary knockdown requirement assessment.</w:t>
      </w:r>
    </w:p>
    <w:p>
      <w:pPr>
        <w:spacing w:before="3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Quiver EP Phenotype Dose-Response Profiling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Query Quiver's CRISPR perturbation atlas for graded knockdown electrophysiology data across full knockout, partial knockdown (50%, 70%, 90%), and heterozygous states in human neurons.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Gene symbol and neuronal cell type/line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Phenotypic readout(s) (action potential frequency, synaptic strength, network activity)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Knockdown level thresholds to query (full KO, 50%, 70%, 90% reduction)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Quiver CRISPR EP Atlas</w:t>
      </w:r>
      <w:r>
        <w:rPr>
          <w:rFonts w:ascii="Arial" w:cs="Arial" w:eastAsia="Arial" w:hAnsi="Arial"/>
          <w:sz w:val="24"/>
          <w:szCs w:val="24"/>
        </w:rPr>
        <w:t xml:space="preserve"> — Genome-scale CRISPR perturbation phenotypes in human neuronal cells with dose-response measurements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Quiver Dose-Response Module</w:t>
      </w:r>
      <w:r>
        <w:rPr>
          <w:rFonts w:ascii="Arial" w:cs="Arial" w:eastAsia="Arial" w:hAnsi="Arial"/>
          <w:sz w:val="24"/>
          <w:szCs w:val="24"/>
        </w:rPr>
        <w:t xml:space="preserve"> — Comparative analysis of graded knockdown phenotypes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What electrophysiology phenotypes are observed in [gene] CRISPR knockdown across dose levels in human neurons?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At what knockdown level (50%, 70%, 90%, 100%) does [phenotype] reach a threshold?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How does partial heterozygous knockdown compare to full knockout?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Dose-response curves for key neuronal phenotypes (raw data and fitted curves)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EC50/IC50 knockdown thresholds if available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Comparison of full KO vs. heterozygous states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Confidence metrics and sample size information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Tabular dose-response data with phenotype readouts at 0%, 50%, 70%, 90%, 100% knockdown levels; includes EC50 values where available and visual representation of dose-response curves.</w:t>
      </w:r>
    </w:p>
    <w:p>
      <w:pPr>
        <w:spacing w:before="3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Human Genetic Dosage Evidence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Analyze human genetic data for natural dosage experiments through carriers of hypomorphic alleles, copy number variants, and constraint metrics to estimate tolerated knockdown levels.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Gene symbol and associated disease(s)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Target phenotype/disease indicator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gnomAD</w:t>
      </w:r>
      <w:r>
        <w:rPr>
          <w:rFonts w:ascii="Arial" w:cs="Arial" w:eastAsia="Arial" w:hAnsi="Arial"/>
          <w:sz w:val="24"/>
          <w:szCs w:val="24"/>
        </w:rPr>
        <w:t xml:space="preserve"> — Constraint metrics (pLI, LOEUF) indicating intolerance to loss-of-function variation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ClinVar</w:t>
      </w:r>
      <w:r>
        <w:rPr>
          <w:rFonts w:ascii="Arial" w:cs="Arial" w:eastAsia="Arial" w:hAnsi="Arial"/>
          <w:sz w:val="24"/>
          <w:szCs w:val="24"/>
        </w:rPr>
        <w:t xml:space="preserve"> — Reported pathogenic variants and hypomorphic alleles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ClinGen Dosage Sensitivity Map</w:t>
      </w:r>
      <w:r>
        <w:rPr>
          <w:rFonts w:ascii="Arial" w:cs="Arial" w:eastAsia="Arial" w:hAnsi="Arial"/>
          <w:sz w:val="24"/>
          <w:szCs w:val="24"/>
        </w:rPr>
        <w:t xml:space="preserve"> — Gene-specific dosage sensitivity and haploinsufficiency assessments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DECIPHER</w:t>
      </w:r>
      <w:r>
        <w:rPr>
          <w:rFonts w:ascii="Arial" w:cs="Arial" w:eastAsia="Arial" w:hAnsi="Arial"/>
          <w:sz w:val="24"/>
          <w:szCs w:val="24"/>
        </w:rPr>
        <w:t xml:space="preserve"> — Copy number variations and clinical phenotype associations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What is the LOEUF and pLI score for [gene]? What does this indicate about dosage sensitivity?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Are there documented carriers of hypomorphic or loss-of-function alleles in the human population?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What copy number variation data exists for [gene] and are CNV carriers phenotypically normal or affected?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LOEUF, pLI, and other constraint scores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Haploinsufficiency classification (ClinGen)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Summary of hypomorphic alleles and carrier phenotypes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Copy number variation frequency and phenotype correlation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Inferred maximum safe knockdown level from genetic evidence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Structured report: constraint metrics, haploinsufficiency class, hypomorphic allele variants with carrier phenotypes, CNV data, and inferred dosage tolerance level.</w:t>
      </w:r>
    </w:p>
    <w:p>
      <w:pPr>
        <w:spacing w:before="3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Literature-Based Efficacy Threshold Analysis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Mine published ASO, RNAi, and gene therapy studies to identify dose-response relationships and knockdown-efficacy correlations in human systems or applicable model organisms.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Gene symbol, disease indication, therapeutic modality (ASO/RNAi/AAV)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Target phenotypic endpoint for efficacy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PubMed</w:t>
      </w:r>
      <w:r>
        <w:rPr>
          <w:rFonts w:ascii="Arial" w:cs="Arial" w:eastAsia="Arial" w:hAnsi="Arial"/>
          <w:sz w:val="24"/>
          <w:szCs w:val="24"/>
        </w:rPr>
        <w:t xml:space="preserve"> — Literature search for knockdown studies and dose-response data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ClinicalTrials.gov</w:t>
      </w:r>
      <w:r>
        <w:rPr>
          <w:rFonts w:ascii="Arial" w:cs="Arial" w:eastAsia="Arial" w:hAnsi="Arial"/>
          <w:sz w:val="24"/>
          <w:szCs w:val="24"/>
        </w:rPr>
        <w:t xml:space="preserve"> — Clinical trial data on dose-response and efficacy endpoints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DailyMed/FDA Drug Labels</w:t>
      </w:r>
      <w:r>
        <w:rPr>
          <w:rFonts w:ascii="Arial" w:cs="Arial" w:eastAsia="Arial" w:hAnsi="Arial"/>
          <w:sz w:val="24"/>
          <w:szCs w:val="24"/>
        </w:rPr>
        <w:t xml:space="preserve"> — Approved drug information on efficacy, dosing, and mechanism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What knockdown levels have been tested in published ASO or RNAi studies for [gene]?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What dose-response relationship has been reported between knockdown level and [efficacy phenotype]?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At what minimum knockdown percentage did published studies observe therapeutic benefit?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Curated list of published dose-response studies with knockdown levels and efficacy readouts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Meta-analysis summary of minimum efficacy threshold across studies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Safety/tolerability data at various knockdown levels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Comparison of dose-response curves across therapeutic modalities (ASO vs. RNAi vs. AAV)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Literature table with study details (authors, year), gene, therapeutic modality, knockdown levels tested, efficacy endpoints, and minimum effective threshold; includes visual summary of dose-response trends.</w:t>
      </w:r>
    </w:p>
    <w:p>
      <w:pPr>
        <w:spacing w:before="3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Computational Threshold Modeling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Integrate all evidence (Stages 1-4) into a quantitative model to predict the minimal knockdown threshold for phenotypic rescue using Hill equation fitting and systems biology approaches.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Quiver EP dose-response data (Stage 2)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Human genetic dosage evidence (Stage 3)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Literature-derived knockdown-efficacy correlations (Stage 4)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Gene interaction and pathway data (from Stage 1)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Sapphire Threshold Model</w:t>
      </w:r>
      <w:r>
        <w:rPr>
          <w:rFonts w:ascii="Arial" w:cs="Arial" w:eastAsia="Arial" w:hAnsi="Arial"/>
          <w:sz w:val="24"/>
          <w:szCs w:val="24"/>
        </w:rPr>
        <w:t xml:space="preserve"> — Proprietary integrative model combining multi-source evidence into a single knockdown threshold prediction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Systems Biology ODE Models</w:t>
      </w:r>
      <w:r>
        <w:rPr>
          <w:rFonts w:ascii="Arial" w:cs="Arial" w:eastAsia="Arial" w:hAnsi="Arial"/>
          <w:sz w:val="24"/>
          <w:szCs w:val="24"/>
        </w:rPr>
        <w:t xml:space="preserve"> — Dynamic simulations of dose-dependent pathway effects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Hill Equation Fitting</w:t>
      </w:r>
      <w:r>
        <w:rPr>
          <w:rFonts w:ascii="Arial" w:cs="Arial" w:eastAsia="Arial" w:hAnsi="Arial"/>
          <w:sz w:val="24"/>
          <w:szCs w:val="24"/>
        </w:rPr>
        <w:t xml:space="preserve"> — Quantitative curve fitting and EC50 estimation from experimental dose-response data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Using integrated data from Stages 1-4, what is the predicted minimum knockdown threshold for [gene]?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What is the EC50 knockdown level for neuronal [phenotype] based on Quiver and literature integration?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How sensitive is the threshold estimate to uncertainty in each input data source?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Predicted minimal knockdown threshold (%) with confidence interval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EC50 knockdown level with Hill coefficient (cooperativity)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Integrated dose-response curve combining all evidence sources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Sensitivity analysis: threshold uncertainty attributed to each data source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Modeling assumptions and limitations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Quantitative summary with integrated dose-response curve, EC50 estimate, Hill coefficient, confidence interval, sensitivity analysis table, and modeling assumptions/limitations statement.</w:t>
      </w:r>
    </w:p>
    <w:p>
      <w:pPr>
        <w:spacing w:before="3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Confidence Assessment &amp; Recommendations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Assess confidence in the predicted threshold, identify critical data gaps, and recommend validation experiments to reduce uncertainty.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All outputs from Stages 1-5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Sensitivity/uncertainty analysis from Stage 5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Data completeness and consistency metrics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Sapphire Confidence Scoring</w:t>
      </w:r>
      <w:r>
        <w:rPr>
          <w:rFonts w:ascii="Arial" w:cs="Arial" w:eastAsia="Arial" w:hAnsi="Arial"/>
          <w:sz w:val="24"/>
          <w:szCs w:val="24"/>
        </w:rPr>
        <w:t xml:space="preserve"> — Multi-criteria confidence assessment based on data coverage, consistency, and agreement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Quiver EP Validation Recommendations</w:t>
      </w:r>
      <w:r>
        <w:rPr>
          <w:rFonts w:ascii="Arial" w:cs="Arial" w:eastAsia="Arial" w:hAnsi="Arial"/>
          <w:sz w:val="24"/>
          <w:szCs w:val="24"/>
        </w:rPr>
        <w:t xml:space="preserve"> — Recommended experiments to validate predicted knockdown thresholds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How confident is the predicted knockdown threshold, and what factors drive uncertainty?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What critical experiments would most reduce uncertainty in the threshold prediction?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Are there any data gaps or inconsistencies in evidence that should be prioritized for validation?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Confidence level (High/Medium/Low) with justification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Summary of evidence quality and coverage by stage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Identified critical data gaps (missing Quiver data, no human genetic evidence, literature gaps, etc.)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Prioritized validation experiments (ranked by impact on uncertainty reduction)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Proposed next steps and timelines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Executive summary with confidence rating, evidence quality table, gap analysis, ranked validation recommendations, and next steps.</w:t>
      </w:r>
    </w:p>
    <w:p>
      <w:pPr>
        <w:spacing w:before="3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Tools &amp; Databases Summary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OMIM</w:t>
      </w:r>
      <w:r>
        <w:rPr>
          <w:rFonts w:ascii="Arial" w:cs="Arial" w:eastAsia="Arial" w:hAnsi="Arial"/>
          <w:sz w:val="24"/>
          <w:szCs w:val="24"/>
        </w:rPr>
        <w:t xml:space="preserve"> — Clinical phenotype-genotype relationships and inheritance patterns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NCBI Gene</w:t>
      </w:r>
      <w:r>
        <w:rPr>
          <w:rFonts w:ascii="Arial" w:cs="Arial" w:eastAsia="Arial" w:hAnsi="Arial"/>
          <w:sz w:val="24"/>
          <w:szCs w:val="24"/>
        </w:rPr>
        <w:t xml:space="preserve"> — Gene function, orthology, and molecular interactions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UniProt</w:t>
      </w:r>
      <w:r>
        <w:rPr>
          <w:rFonts w:ascii="Arial" w:cs="Arial" w:eastAsia="Arial" w:hAnsi="Arial"/>
          <w:sz w:val="24"/>
          <w:szCs w:val="24"/>
        </w:rPr>
        <w:t xml:space="preserve"> — Protein function, localization, and post-translational modifications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PubMed</w:t>
      </w:r>
      <w:r>
        <w:rPr>
          <w:rFonts w:ascii="Arial" w:cs="Arial" w:eastAsia="Arial" w:hAnsi="Arial"/>
          <w:sz w:val="24"/>
          <w:szCs w:val="24"/>
        </w:rPr>
        <w:t xml:space="preserve"> — Literature on gene function, disease pathways, and therapeutic studies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Mouse Genome Informatics (MGI)</w:t>
      </w:r>
      <w:r>
        <w:rPr>
          <w:rFonts w:ascii="Arial" w:cs="Arial" w:eastAsia="Arial" w:hAnsi="Arial"/>
          <w:sz w:val="24"/>
          <w:szCs w:val="24"/>
        </w:rPr>
        <w:t xml:space="preserve"> — Mouse knockdown/knockout phenotypes and dose-response data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Quiver CRISPR EP Atlas</w:t>
      </w:r>
      <w:r>
        <w:rPr>
          <w:rFonts w:ascii="Arial" w:cs="Arial" w:eastAsia="Arial" w:hAnsi="Arial"/>
          <w:sz w:val="24"/>
          <w:szCs w:val="24"/>
        </w:rPr>
        <w:t xml:space="preserve"> — Genome-scale CRISPR perturbation phenotypes in human neuronal cells with dose-response measurements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Quiver Dose-Response Module</w:t>
      </w:r>
      <w:r>
        <w:rPr>
          <w:rFonts w:ascii="Arial" w:cs="Arial" w:eastAsia="Arial" w:hAnsi="Arial"/>
          <w:sz w:val="24"/>
          <w:szCs w:val="24"/>
        </w:rPr>
        <w:t xml:space="preserve"> — Comparative analysis of graded knockdown phenotypes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gnomAD</w:t>
      </w:r>
      <w:r>
        <w:rPr>
          <w:rFonts w:ascii="Arial" w:cs="Arial" w:eastAsia="Arial" w:hAnsi="Arial"/>
          <w:sz w:val="24"/>
          <w:szCs w:val="24"/>
        </w:rPr>
        <w:t xml:space="preserve"> — Constraint metrics (pLI, LOEUF) indicating intolerance to loss-of-function variation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ClinVar</w:t>
      </w:r>
      <w:r>
        <w:rPr>
          <w:rFonts w:ascii="Arial" w:cs="Arial" w:eastAsia="Arial" w:hAnsi="Arial"/>
          <w:sz w:val="24"/>
          <w:szCs w:val="24"/>
        </w:rPr>
        <w:t xml:space="preserve"> — Reported pathogenic variants and hypomorphic alleles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ClinGen Dosage Sensitivity Map</w:t>
      </w:r>
      <w:r>
        <w:rPr>
          <w:rFonts w:ascii="Arial" w:cs="Arial" w:eastAsia="Arial" w:hAnsi="Arial"/>
          <w:sz w:val="24"/>
          <w:szCs w:val="24"/>
        </w:rPr>
        <w:t xml:space="preserve"> — Gene-specific dosage sensitivity and haploinsufficiency assessments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DECIPHER</w:t>
      </w:r>
      <w:r>
        <w:rPr>
          <w:rFonts w:ascii="Arial" w:cs="Arial" w:eastAsia="Arial" w:hAnsi="Arial"/>
          <w:sz w:val="24"/>
          <w:szCs w:val="24"/>
        </w:rPr>
        <w:t xml:space="preserve"> — Copy number variations and clinical phenotype associations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ClinicalTrials.gov</w:t>
      </w:r>
      <w:r>
        <w:rPr>
          <w:rFonts w:ascii="Arial" w:cs="Arial" w:eastAsia="Arial" w:hAnsi="Arial"/>
          <w:sz w:val="24"/>
          <w:szCs w:val="24"/>
        </w:rPr>
        <w:t xml:space="preserve"> — Clinical trial data on dose-response and efficacy endpoints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DailyMed/FDA Drug Labels</w:t>
      </w:r>
      <w:r>
        <w:rPr>
          <w:rFonts w:ascii="Arial" w:cs="Arial" w:eastAsia="Arial" w:hAnsi="Arial"/>
          <w:sz w:val="24"/>
          <w:szCs w:val="24"/>
        </w:rPr>
        <w:t xml:space="preserve"> — Approved drug information on efficacy, dosing, and mechanism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Sapphire Threshold Model</w:t>
      </w:r>
      <w:r>
        <w:rPr>
          <w:rFonts w:ascii="Arial" w:cs="Arial" w:eastAsia="Arial" w:hAnsi="Arial"/>
          <w:sz w:val="24"/>
          <w:szCs w:val="24"/>
        </w:rPr>
        <w:t xml:space="preserve"> — Proprietary integrative model combining multi-source evidence into a single knockdown threshold prediction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Sapphire Confidence Scoring</w:t>
      </w:r>
      <w:r>
        <w:rPr>
          <w:rFonts w:ascii="Arial" w:cs="Arial" w:eastAsia="Arial" w:hAnsi="Arial"/>
          <w:sz w:val="24"/>
          <w:szCs w:val="24"/>
        </w:rPr>
        <w:t xml:space="preserve"> — Multi-criteria confidence assessment based on data coverage, consistency, and agreement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2026-02-18T20:45:17.388Z</dcterms:created>
  <dcterms:modified xsi:type="dcterms:W3CDTF">2026-02-18T20:45:17.388Z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