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240" w:after="240" w:line="360"/>
      </w:pPr>
      <w:r>
        <w:t xml:space="preserve">Sapphire Pipeline Workflow</w:t>
      </w:r>
    </w:p>
    <w:p>
      <w:pPr>
        <w:pStyle w:val="Heading2"/>
        <w:spacing w:before="200" w:after="200" w:line="360"/>
      </w:pPr>
      <w:r>
        <w:t xml:space="preserve">Prompt: "What ASO target sites on this transcript show the highest predicted efficacy? lowest toxicity?"</w:t>
      </w:r>
    </w:p>
    <w:p>
      <w:pPr>
        <w:pStyle w:val="Normal"/>
        <w:spacing w:after="300" w:line="360"/>
      </w:pPr>
      <w:r>
        <w:t xml:space="preserve">This document defines the complete Sapphire pipeline — the sequential stages, tools called, external datasets used, inputs, outputs, and decision logic — required to deliver a valid, actionable answer to this prompt.</w:t>
      </w:r>
    </w:p>
    <w:p>
      <w:pPr>
        <w:pStyle w:val="Heading2"/>
        <w:spacing w:before="200" w:after="200" w:line="360"/>
      </w:pPr>
      <w:r>
        <w:t xml:space="preserve">Pipeline Overview</w:t>
      </w:r>
    </w:p>
    <w:p>
      <w:pPr>
        <w:pStyle w:val="Normal"/>
        <w:spacing w:after="200" w:line="360"/>
      </w:pPr>
      <w:r>
        <w:t xml:space="preserve">The Sapphire Pipeline systematically identifies optimal Antisense Oligonucleotide (ASO) target sites by integrating transcript structure, thermodynamic binding predictions, efficacy modeling, and comprehensive toxicity assessment. The pipeline tilewalks all potential binding sites across the target transcript, scores them for both knockdown efficacy and safety, and delivers a ranked recommendation list balancing therapeutic potential against immunogenic and off-target risks.</w:t>
      </w:r>
    </w:p>
    <w:p>
      <w:pPr>
        <w:pStyle w:val="Normal"/>
        <w:spacing w:after="300" w:line="360"/>
      </w:pPr>
      <w:r>
        <w:t xml:space="preserve">Each stage builds upon the previous, progressively narrowing candidate sites through increasingly sophisticated computational and empirical filters. The final stage integrates multi-modal scoring to surface sites with the highest probability of clinical success.</w:t>
      </w:r>
    </w:p>
    <w:p>
      <w:pPr>
        <w:pStyle w:val="Heading2"/>
        <w:spacing w:before="200" w:after="200" w:line="360"/>
      </w:pPr>
      <w:r>
        <w:t xml:space="preserve">Stage 1: Transcript Retrieval &amp; Annotation</w:t>
      </w:r>
    </w:p>
    <w:p>
      <w:pPr>
        <w:pStyle w:val="Normal"/>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Obtain the complete primary transcript sequence, exon-intron structure, and functional annotations (UTR boundaries, regulatory elements, splice sites) required for ASO design.</w:t>
      </w:r>
    </w:p>
    <w:p>
      <w:pPr>
        <w:pStyle w:val="Normal"/>
        <w:spacing w:after="100" w:line="360"/>
      </w:pPr>
      <w:r>
        <w:rPr>
          <w:rFonts w:ascii="Arial" w:cs="Arial" w:eastAsia="Arial" w:hAnsi="Arial"/>
          <w:b/>
          <w:bCs/>
          <w:sz w:val="24"/>
          <w:szCs w:val="24"/>
        </w:rPr>
        <w:t xml:space="preserve">Inputs:</w:t>
      </w:r>
    </w:p>
    <w:p>
      <w:pPr>
        <w:pStyle w:val="Normal"/>
        <w:spacing w:after="100" w:line="360"/>
      </w:pPr>
      <w:r>
        <w:t xml:space="preserve">Gene identifier (HGNC symbol, Ensembl ID, or NCBI accession)</w:t>
      </w:r>
    </w:p>
    <w:p>
      <w:pPr>
        <w:pStyle w:val="Normal"/>
        <w:spacing w:after="100" w:line="360"/>
      </w:pPr>
      <w:r>
        <w:t xml:space="preserve">Transcript isoform selection criteria (longest, canonical, disease-relevant isoform)</w:t>
      </w:r>
    </w:p>
    <w:p>
      <w:pPr>
        <w:pStyle w:val="Normal"/>
        <w:spacing w:after="100" w:line="360"/>
      </w:pPr>
      <w:r>
        <w:t xml:space="preserve">Organism (human preferred; alternative species if applicable)</w:t>
      </w:r>
    </w:p>
    <w:p>
      <w:pPr>
        <w:pStyle w:val="Normal"/>
        <w:spacing w:after="100" w:line="360"/>
      </w:pPr>
      <w:r>
        <w:rPr>
          <w:rFonts w:ascii="Arial" w:cs="Arial" w:eastAsia="Arial" w:hAnsi="Arial"/>
          <w:b/>
          <w:bCs/>
          <w:sz w:val="24"/>
          <w:szCs w:val="24"/>
        </w:rPr>
        <w:t xml:space="preserve">Tools &amp; Databases Called:</w:t>
      </w:r>
    </w:p>
    <w:p>
      <w:pPr>
        <w:spacing w:after="100" w:line="360"/>
      </w:pPr>
      <w:r>
        <w:t xml:space="preserve">Ensembl REST API</w:t>
      </w:r>
      <w:r>
        <w:rPr>
          <w:rFonts w:ascii="Arial" w:cs="Arial" w:eastAsia="Arial" w:hAnsi="Arial"/>
          <w:b/>
          <w:bCs/>
          <w:sz w:val="24"/>
          <w:szCs w:val="24"/>
        </w:rPr>
        <w:t xml:space="preserve">Ensembl REST API</w:t>
      </w:r>
      <w:r>
        <w:rPr>
          <w:rFonts w:ascii="Arial" w:cs="Arial" w:eastAsia="Arial" w:hAnsi="Arial"/>
          <w:sz w:val="24"/>
          <w:szCs w:val="24"/>
        </w:rPr>
        <w:t xml:space="preserve"> — fetch transcript sequences, exon-intron boundaries, GENCODE annotations</w:t>
      </w:r>
    </w:p>
    <w:p>
      <w:pPr>
        <w:spacing w:after="100" w:line="360"/>
      </w:pPr>
      <w:r>
        <w:t xml:space="preserve">NCBI RefSeq</w:t>
      </w:r>
      <w:r>
        <w:rPr>
          <w:rFonts w:ascii="Arial" w:cs="Arial" w:eastAsia="Arial" w:hAnsi="Arial"/>
          <w:b/>
          <w:bCs/>
          <w:sz w:val="24"/>
          <w:szCs w:val="24"/>
        </w:rPr>
        <w:t xml:space="preserve">NCBI RefSeq</w:t>
      </w:r>
      <w:r>
        <w:rPr>
          <w:rFonts w:ascii="Arial" w:cs="Arial" w:eastAsia="Arial" w:hAnsi="Arial"/>
          <w:sz w:val="24"/>
          <w:szCs w:val="24"/>
        </w:rPr>
        <w:t xml:space="preserve"> — retrieve reference sequences and splice variant information</w:t>
      </w:r>
    </w:p>
    <w:p>
      <w:pPr>
        <w:spacing w:after="100" w:line="360"/>
      </w:pPr>
      <w:r>
        <w:t xml:space="preserve">GENCODE</w:t>
      </w:r>
      <w:r>
        <w:rPr>
          <w:rFonts w:ascii="Arial" w:cs="Arial" w:eastAsia="Arial" w:hAnsi="Arial"/>
          <w:b/>
          <w:bCs/>
          <w:sz w:val="24"/>
          <w:szCs w:val="24"/>
        </w:rPr>
        <w:t xml:space="preserve">GENCODE</w:t>
      </w:r>
      <w:r>
        <w:rPr>
          <w:rFonts w:ascii="Arial" w:cs="Arial" w:eastAsia="Arial" w:hAnsi="Arial"/>
          <w:sz w:val="24"/>
          <w:szCs w:val="24"/>
        </w:rPr>
        <w:t xml:space="preserve"> — comprehensive transcript annotation and quality tags</w:t>
      </w:r>
    </w:p>
    <w:p>
      <w:pPr>
        <w:spacing w:after="100" w:line="360"/>
      </w:pPr>
      <w:r>
        <w:t xml:space="preserve">UTRdb</w:t>
      </w:r>
      <w:r>
        <w:rPr>
          <w:rFonts w:ascii="Arial" w:cs="Arial" w:eastAsia="Arial" w:hAnsi="Arial"/>
          <w:b/>
          <w:bCs/>
          <w:sz w:val="24"/>
          <w:szCs w:val="24"/>
        </w:rPr>
        <w:t xml:space="preserve">UTRdb</w:t>
      </w:r>
      <w:r>
        <w:rPr>
          <w:rFonts w:ascii="Arial" w:cs="Arial" w:eastAsia="Arial" w:hAnsi="Arial"/>
          <w:sz w:val="24"/>
          <w:szCs w:val="24"/>
        </w:rPr>
        <w:t xml:space="preserve"> — identify 5' and 3' UTR boundaries and regulatory element locations</w:t>
      </w:r>
    </w:p>
    <w:p>
      <w:pPr>
        <w:pStyle w:val="Normal"/>
        <w:spacing w:after="100" w:line="360"/>
      </w:pPr>
      <w:r>
        <w:rPr>
          <w:rFonts w:ascii="Arial" w:cs="Arial" w:eastAsia="Arial" w:hAnsi="Arial"/>
          <w:b/>
          <w:bCs/>
          <w:sz w:val="24"/>
          <w:szCs w:val="24"/>
        </w:rPr>
        <w:t xml:space="preserve">Exemplary Sub-Prompts:</w:t>
      </w:r>
    </w:p>
    <w:p>
      <w:pPr>
        <w:pStyle w:val="Normal"/>
        <w:spacing w:after="100" w:line="360"/>
      </w:pPr>
      <w:r>
        <w:t xml:space="preserve">"Retrieve the GENCODE canonical transcript for BRCA1 (human, GRCh38)."</w:t>
      </w:r>
    </w:p>
    <w:p>
      <w:pPr>
        <w:pStyle w:val="Normal"/>
        <w:spacing w:after="100" w:line="360"/>
      </w:pPr>
      <w:r>
        <w:t xml:space="preserve">"What are the exon-intron boundaries and UTR coordinates for NM_007294.4?"</w:t>
      </w:r>
    </w:p>
    <w:p>
      <w:pPr>
        <w:pStyle w:val="Normal"/>
        <w:spacing w:after="100" w:line="360"/>
      </w:pPr>
      <w:r>
        <w:t xml:space="preserve">"Identify all known regulatory elements (miRNA binding sites, AU-rich elements) in the 3' UTR of APOB."</w:t>
      </w:r>
    </w:p>
    <w:p>
      <w:pPr>
        <w:pStyle w:val="Normal"/>
        <w:spacing w:after="100" w:line="360"/>
      </w:pPr>
      <w:r>
        <w:rPr>
          <w:rFonts w:ascii="Arial" w:cs="Arial" w:eastAsia="Arial" w:hAnsi="Arial"/>
          <w:b/>
          <w:bCs/>
          <w:sz w:val="24"/>
          <w:szCs w:val="24"/>
        </w:rPr>
        <w:t xml:space="preserve">Expected Outputs:</w:t>
      </w:r>
    </w:p>
    <w:p>
      <w:pPr>
        <w:pStyle w:val="Normal"/>
        <w:spacing w:after="100" w:line="360"/>
      </w:pPr>
      <w:r>
        <w:t xml:space="preserve">Full pre-mRNA sequence (5' UTR – coding sequence – 3' UTR)</w:t>
      </w:r>
    </w:p>
    <w:p>
      <w:pPr>
        <w:pStyle w:val="Normal"/>
        <w:spacing w:after="100" w:line="360"/>
      </w:pPr>
      <w:r>
        <w:t xml:space="preserve">Exon-intron map with precise coordinates</w:t>
      </w:r>
    </w:p>
    <w:p>
      <w:pPr>
        <w:pStyle w:val="Normal"/>
        <w:spacing w:after="100" w:line="360"/>
      </w:pPr>
      <w:r>
        <w:t xml:space="preserve">Annotated functional elements (splice donor/acceptor sites, branch points, regulatory motifs)</w:t>
      </w:r>
    </w:p>
    <w:p>
      <w:pPr>
        <w:pStyle w:val="Normal"/>
        <w:spacing w:after="100" w:line="360"/>
      </w:pPr>
      <w:r>
        <w:t xml:space="preserve">Transcript quality metrics (GENCODE level, coverage, expression data if available)</w:t>
      </w:r>
    </w:p>
    <w:p>
      <w:pPr>
        <w:pStyle w:val="Normal"/>
        <w:spacing w:after="200" w:line="360"/>
      </w:pPr>
      <w:r>
        <w:rPr>
          <w:rFonts w:ascii="Arial" w:cs="Arial" w:eastAsia="Arial" w:hAnsi="Arial"/>
          <w:b/>
          <w:bCs/>
          <w:sz w:val="24"/>
          <w:szCs w:val="24"/>
        </w:rPr>
        <w:t xml:space="preserve">Format: </w:t>
      </w:r>
      <w:r>
        <w:rPr>
          <w:rFonts w:ascii="Arial" w:cs="Arial" w:eastAsia="Arial" w:hAnsi="Arial"/>
          <w:sz w:val="24"/>
          <w:szCs w:val="24"/>
        </w:rPr>
        <w:t xml:space="preserve">FASTA sequence file, GFF3 annotation file, JSON metadata object containing coordinates, functional elements, and transcript attributes.</w:t>
      </w:r>
    </w:p>
    <w:p>
      <w:pPr>
        <w:pStyle w:val="Heading2"/>
        <w:spacing w:before="200" w:after="200" w:line="360"/>
      </w:pPr>
      <w:r>
        <w:t xml:space="preserve">Stage 2: ASO Walkthrough &amp; Binding Site Enumeration</w:t>
      </w:r>
    </w:p>
    <w:p>
      <w:pPr>
        <w:pStyle w:val="Normal"/>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Systematically enumerate all possible Antisense Oligonucleotide binding sites (typically 16–20 nucleotides) across the transcript and calculate fundamental thermodynamic properties (Tm, ΔG, binding accessibility) for each candidate.</w:t>
      </w:r>
    </w:p>
    <w:p>
      <w:pPr>
        <w:pStyle w:val="Normal"/>
        <w:spacing w:after="100" w:line="360"/>
      </w:pPr>
      <w:r>
        <w:rPr>
          <w:rFonts w:ascii="Arial" w:cs="Arial" w:eastAsia="Arial" w:hAnsi="Arial"/>
          <w:b/>
          <w:bCs/>
          <w:sz w:val="24"/>
          <w:szCs w:val="24"/>
        </w:rPr>
        <w:t xml:space="preserve">Inputs:</w:t>
      </w:r>
    </w:p>
    <w:p>
      <w:pPr>
        <w:pStyle w:val="Normal"/>
        <w:spacing w:after="100" w:line="360"/>
      </w:pPr>
      <w:r>
        <w:t xml:space="preserve">Full transcript sequence from Stage 1</w:t>
      </w:r>
    </w:p>
    <w:p>
      <w:pPr>
        <w:pStyle w:val="Normal"/>
        <w:spacing w:after="100" w:line="360"/>
      </w:pPr>
      <w:r>
        <w:t xml:space="preserve">ASO length specification (e.g., 18–20 nucleotides)</w:t>
      </w:r>
    </w:p>
    <w:p>
      <w:pPr>
        <w:pStyle w:val="Normal"/>
        <w:spacing w:after="100" w:line="360"/>
      </w:pPr>
      <w:r>
        <w:t xml:space="preserve">Chemistry specification (e.g., 2'OMethyl, phosphorothioate, morpholino)</w:t>
      </w:r>
    </w:p>
    <w:p>
      <w:pPr>
        <w:pStyle w:val="Normal"/>
        <w:spacing w:after="100" w:line="360"/>
      </w:pPr>
      <w:r>
        <w:t xml:space="preserve">Thermodynamic model parameters</w:t>
      </w:r>
    </w:p>
    <w:p>
      <w:pPr>
        <w:pStyle w:val="Normal"/>
        <w:spacing w:after="100" w:line="360"/>
      </w:pPr>
      <w:r>
        <w:rPr>
          <w:rFonts w:ascii="Arial" w:cs="Arial" w:eastAsia="Arial" w:hAnsi="Arial"/>
          <w:b/>
          <w:bCs/>
          <w:sz w:val="24"/>
          <w:szCs w:val="24"/>
        </w:rPr>
        <w:t xml:space="preserve">Tools &amp; Databases Called:</w:t>
      </w:r>
    </w:p>
    <w:p>
      <w:pPr>
        <w:spacing w:after="100" w:line="360"/>
      </w:pPr>
      <w:r>
        <w:t xml:space="preserve">Quiver ASO Design Module</w:t>
      </w:r>
      <w:r>
        <w:rPr>
          <w:rFonts w:ascii="Arial" w:cs="Arial" w:eastAsia="Arial" w:hAnsi="Arial"/>
          <w:b/>
          <w:bCs/>
          <w:sz w:val="24"/>
          <w:szCs w:val="24"/>
        </w:rPr>
        <w:t xml:space="preserve">Quiver ASO Design Module</w:t>
      </w:r>
      <w:r>
        <w:rPr>
          <w:rFonts w:ascii="Arial" w:cs="Arial" w:eastAsia="Arial" w:hAnsi="Arial"/>
          <w:sz w:val="24"/>
          <w:szCs w:val="24"/>
        </w:rPr>
        <w:t xml:space="preserve"> — tile walking algorithm with integrated thermodynamic scoring</w:t>
      </w:r>
    </w:p>
    <w:p>
      <w:pPr>
        <w:spacing w:after="100" w:line="360"/>
      </w:pPr>
      <w:r>
        <w:t xml:space="preserve">OligoCalc</w:t>
      </w:r>
      <w:r>
        <w:rPr>
          <w:rFonts w:ascii="Arial" w:cs="Arial" w:eastAsia="Arial" w:hAnsi="Arial"/>
          <w:b/>
          <w:bCs/>
          <w:sz w:val="24"/>
          <w:szCs w:val="24"/>
        </w:rPr>
        <w:t xml:space="preserve">OligoCalc</w:t>
      </w:r>
      <w:r>
        <w:rPr>
          <w:rFonts w:ascii="Arial" w:cs="Arial" w:eastAsia="Arial" w:hAnsi="Arial"/>
          <w:sz w:val="24"/>
          <w:szCs w:val="24"/>
        </w:rPr>
        <w:t xml:space="preserve"> — compute Tm, secondary structure, GC content</w:t>
      </w:r>
    </w:p>
    <w:p>
      <w:pPr>
        <w:spacing w:after="100" w:line="360"/>
      </w:pPr>
      <w:r>
        <w:t xml:space="preserve">Mfold/UNAfold</w:t>
      </w:r>
      <w:r>
        <w:rPr>
          <w:rFonts w:ascii="Arial" w:cs="Arial" w:eastAsia="Arial" w:hAnsi="Arial"/>
          <w:b/>
          <w:bCs/>
          <w:sz w:val="24"/>
          <w:szCs w:val="24"/>
        </w:rPr>
        <w:t xml:space="preserve">Mfold/UNAfold</w:t>
      </w:r>
      <w:r>
        <w:rPr>
          <w:rFonts w:ascii="Arial" w:cs="Arial" w:eastAsia="Arial" w:hAnsi="Arial"/>
          <w:sz w:val="24"/>
          <w:szCs w:val="24"/>
        </w:rPr>
        <w:t xml:space="preserve"> — predict RNA secondary structure and accessibility constraints</w:t>
      </w:r>
    </w:p>
    <w:p>
      <w:pPr>
        <w:spacing w:after="100" w:line="360"/>
      </w:pPr>
      <w:r>
        <w:t xml:space="preserve">RNAfold (ViennaRNA)</w:t>
      </w:r>
      <w:r>
        <w:rPr>
          <w:rFonts w:ascii="Arial" w:cs="Arial" w:eastAsia="Arial" w:hAnsi="Arial"/>
          <w:b/>
          <w:bCs/>
          <w:sz w:val="24"/>
          <w:szCs w:val="24"/>
        </w:rPr>
        <w:t xml:space="preserve">RNAfold (ViennaRNA)</w:t>
      </w:r>
      <w:r>
        <w:rPr>
          <w:rFonts w:ascii="Arial" w:cs="Arial" w:eastAsia="Arial" w:hAnsi="Arial"/>
          <w:sz w:val="24"/>
          <w:szCs w:val="24"/>
        </w:rPr>
        <w:t xml:space="preserve"> — calculate free energy of duplex formation and unpaired probability</w:t>
      </w:r>
    </w:p>
    <w:p>
      <w:pPr>
        <w:pStyle w:val="Normal"/>
        <w:spacing w:after="100" w:line="360"/>
      </w:pPr>
      <w:r>
        <w:rPr>
          <w:rFonts w:ascii="Arial" w:cs="Arial" w:eastAsia="Arial" w:hAnsi="Arial"/>
          <w:b/>
          <w:bCs/>
          <w:sz w:val="24"/>
          <w:szCs w:val="24"/>
        </w:rPr>
        <w:t xml:space="preserve">Exemplary Sub-Prompts:</w:t>
      </w:r>
    </w:p>
    <w:p>
      <w:pPr>
        <w:pStyle w:val="Normal"/>
        <w:spacing w:after="100" w:line="360"/>
      </w:pPr>
      <w:r>
        <w:t xml:space="preserve">"Generate all 19-nucleotide ASO candidates tiled across the BRCA1 transcript with Tm and ΔG predictions."</w:t>
      </w:r>
    </w:p>
    <w:p>
      <w:pPr>
        <w:pStyle w:val="Normal"/>
        <w:spacing w:after="100" w:line="360"/>
      </w:pPr>
      <w:r>
        <w:t xml:space="preserve">"Calculate secondary structure accessibility scores for each candidate site using ViennaRNA."</w:t>
      </w:r>
    </w:p>
    <w:p>
      <w:pPr>
        <w:pStyle w:val="Normal"/>
        <w:spacing w:after="100" w:line="360"/>
      </w:pPr>
      <w:r>
        <w:t xml:space="preserve">"Rank candidates by binding thermodynamics (ΔG &lt; −40 kcal/mol preferred)."</w:t>
      </w:r>
    </w:p>
    <w:p>
      <w:pPr>
        <w:pStyle w:val="Normal"/>
        <w:spacing w:after="100" w:line="360"/>
      </w:pPr>
      <w:r>
        <w:rPr>
          <w:rFonts w:ascii="Arial" w:cs="Arial" w:eastAsia="Arial" w:hAnsi="Arial"/>
          <w:b/>
          <w:bCs/>
          <w:sz w:val="24"/>
          <w:szCs w:val="24"/>
        </w:rPr>
        <w:t xml:space="preserve">Expected Outputs:</w:t>
      </w:r>
    </w:p>
    <w:p>
      <w:pPr>
        <w:pStyle w:val="Normal"/>
        <w:spacing w:after="100" w:line="360"/>
      </w:pPr>
      <w:r>
        <w:t xml:space="preserve">List of all candidate ASO sites with start/end coordinates</w:t>
      </w:r>
    </w:p>
    <w:p>
      <w:pPr>
        <w:pStyle w:val="Normal"/>
        <w:spacing w:after="100" w:line="360"/>
      </w:pPr>
      <w:r>
        <w:t xml:space="preserve">Thermodynamic parameters for each (Tm, ΔG, GC%, structural accessibility)</w:t>
      </w:r>
    </w:p>
    <w:p>
      <w:pPr>
        <w:pStyle w:val="Normal"/>
        <w:spacing w:after="100" w:line="360"/>
      </w:pPr>
      <w:r>
        <w:t xml:space="preserve">Secondary structure predictions and unpaired probability matrices</w:t>
      </w:r>
    </w:p>
    <w:p>
      <w:pPr>
        <w:pStyle w:val="Normal"/>
        <w:spacing w:after="100" w:line="360"/>
      </w:pPr>
      <w:r>
        <w:t xml:space="preserve">Pre-filtered list excluding obvious poor binders (ΔG &gt; threshold)</w:t>
      </w:r>
    </w:p>
    <w:p>
      <w:pPr>
        <w:pStyle w:val="Normal"/>
        <w:spacing w:after="200" w:line="360"/>
      </w:pPr>
      <w:r>
        <w:rPr>
          <w:rFonts w:ascii="Arial" w:cs="Arial" w:eastAsia="Arial" w:hAnsi="Arial"/>
          <w:b/>
          <w:bCs/>
          <w:sz w:val="24"/>
          <w:szCs w:val="24"/>
        </w:rPr>
        <w:t xml:space="preserve">Format: </w:t>
      </w:r>
      <w:r>
        <w:rPr>
          <w:rFonts w:ascii="Arial" w:cs="Arial" w:eastAsia="Arial" w:hAnsi="Arial"/>
          <w:sz w:val="24"/>
          <w:szCs w:val="24"/>
        </w:rPr>
        <w:t xml:space="preserve">CSV or JSON with columns: coordinate, sequence, Tm, ΔG, accessibility_score, secondary_structure_string.</w:t>
      </w:r>
    </w:p>
    <w:p>
      <w:pPr>
        <w:pStyle w:val="Heading2"/>
        <w:spacing w:before="200" w:after="200" w:line="360"/>
      </w:pPr>
      <w:r>
        <w:t xml:space="preserve">Stage 3: Efficacy Prediction</w:t>
      </w:r>
    </w:p>
    <w:p>
      <w:pPr>
        <w:pStyle w:val="Normal"/>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Predict the functional efficacy (knockdown strength, splice modulation capability) for each candidate ASO site using accessibility models, RNase H cleavage preferences, and empirical ASO design rules from clinical literature and internal databases.</w:t>
      </w:r>
    </w:p>
    <w:p>
      <w:pPr>
        <w:pStyle w:val="Normal"/>
        <w:spacing w:after="100" w:line="360"/>
      </w:pPr>
      <w:r>
        <w:rPr>
          <w:rFonts w:ascii="Arial" w:cs="Arial" w:eastAsia="Arial" w:hAnsi="Arial"/>
          <w:b/>
          <w:bCs/>
          <w:sz w:val="24"/>
          <w:szCs w:val="24"/>
        </w:rPr>
        <w:t xml:space="preserve">Inputs:</w:t>
      </w:r>
    </w:p>
    <w:p>
      <w:pPr>
        <w:pStyle w:val="Normal"/>
        <w:spacing w:after="100" w:line="360"/>
      </w:pPr>
      <w:r>
        <w:t xml:space="preserve">Candidate ASO sites and thermodynamic data from Stage 2</w:t>
      </w:r>
    </w:p>
    <w:p>
      <w:pPr>
        <w:pStyle w:val="Normal"/>
        <w:spacing w:after="100" w:line="360"/>
      </w:pPr>
      <w:r>
        <w:t xml:space="preserve">Transcript sequence and exon-intron structure from Stage 1</w:t>
      </w:r>
    </w:p>
    <w:p>
      <w:pPr>
        <w:pStyle w:val="Normal"/>
        <w:spacing w:after="100" w:line="360"/>
      </w:pPr>
      <w:r>
        <w:t xml:space="preserve">Target mechanism (e.g., RNase H-mediated cleavage, splice modulation, translation blocking)</w:t>
      </w:r>
    </w:p>
    <w:p>
      <w:pPr>
        <w:pStyle w:val="Normal"/>
        <w:spacing w:after="100" w:line="360"/>
      </w:pPr>
      <w:r>
        <w:t xml:space="preserve">Empirical design rule sets (Ionis/Roche ASO design conventions)</w:t>
      </w:r>
    </w:p>
    <w:p>
      <w:pPr>
        <w:pStyle w:val="Normal"/>
        <w:spacing w:after="100" w:line="360"/>
      </w:pPr>
      <w:r>
        <w:rPr>
          <w:rFonts w:ascii="Arial" w:cs="Arial" w:eastAsia="Arial" w:hAnsi="Arial"/>
          <w:b/>
          <w:bCs/>
          <w:sz w:val="24"/>
          <w:szCs w:val="24"/>
        </w:rPr>
        <w:t xml:space="preserve">Tools &amp; Databases Called:</w:t>
      </w:r>
    </w:p>
    <w:p>
      <w:pPr>
        <w:spacing w:after="100" w:line="360"/>
      </w:pPr>
      <w:r>
        <w:t xml:space="preserve">RNase H Site Prediction Algorithms</w:t>
      </w:r>
      <w:r>
        <w:rPr>
          <w:rFonts w:ascii="Arial" w:cs="Arial" w:eastAsia="Arial" w:hAnsi="Arial"/>
          <w:b/>
          <w:bCs/>
          <w:sz w:val="24"/>
          <w:szCs w:val="24"/>
        </w:rPr>
        <w:t xml:space="preserve">RNase H Site Prediction Algorithms</w:t>
      </w:r>
      <w:r>
        <w:rPr>
          <w:rFonts w:ascii="Arial" w:cs="Arial" w:eastAsia="Arial" w:hAnsi="Arial"/>
          <w:sz w:val="24"/>
          <w:szCs w:val="24"/>
        </w:rPr>
        <w:t xml:space="preserve"> — score likelihood of efficient RNase H1 cleavage at each candidate</w:t>
      </w:r>
    </w:p>
    <w:p>
      <w:pPr>
        <w:spacing w:after="100" w:line="360"/>
      </w:pPr>
      <w:r>
        <w:t xml:space="preserve">ESEfinder / SpliceAid</w:t>
      </w:r>
      <w:r>
        <w:rPr>
          <w:rFonts w:ascii="Arial" w:cs="Arial" w:eastAsia="Arial" w:hAnsi="Arial"/>
          <w:b/>
          <w:bCs/>
          <w:sz w:val="24"/>
          <w:szCs w:val="24"/>
        </w:rPr>
        <w:t xml:space="preserve">ESEfinder / SpliceAid</w:t>
      </w:r>
      <w:r>
        <w:rPr>
          <w:rFonts w:ascii="Arial" w:cs="Arial" w:eastAsia="Arial" w:hAnsi="Arial"/>
          <w:sz w:val="24"/>
          <w:szCs w:val="24"/>
        </w:rPr>
        <w:t xml:space="preserve"> — predict splice site modulation and exon skipping potential</w:t>
      </w:r>
    </w:p>
    <w:p>
      <w:pPr>
        <w:spacing w:after="100" w:line="360"/>
      </w:pPr>
      <w:r>
        <w:t xml:space="preserve">Quiver EP Validation Data</w:t>
      </w:r>
      <w:r>
        <w:rPr>
          <w:rFonts w:ascii="Arial" w:cs="Arial" w:eastAsia="Arial" w:hAnsi="Arial"/>
          <w:b/>
          <w:bCs/>
          <w:sz w:val="24"/>
          <w:szCs w:val="24"/>
        </w:rPr>
        <w:t xml:space="preserve">Quiver EP Validation Data</w:t>
      </w:r>
      <w:r>
        <w:rPr>
          <w:rFonts w:ascii="Arial" w:cs="Arial" w:eastAsia="Arial" w:hAnsi="Arial"/>
          <w:sz w:val="24"/>
          <w:szCs w:val="24"/>
        </w:rPr>
        <w:t xml:space="preserve"> — empirical knockdown efficacy from cell-based validation experiments</w:t>
      </w:r>
    </w:p>
    <w:p>
      <w:pPr>
        <w:spacing w:after="100" w:line="360"/>
      </w:pPr>
      <w:r>
        <w:t xml:space="preserve">Published ASO Design Rule Sets</w:t>
      </w:r>
      <w:r>
        <w:rPr>
          <w:rFonts w:ascii="Arial" w:cs="Arial" w:eastAsia="Arial" w:hAnsi="Arial"/>
          <w:b/>
          <w:bCs/>
          <w:sz w:val="24"/>
          <w:szCs w:val="24"/>
        </w:rPr>
        <w:t xml:space="preserve">Published ASO Design Rule Sets</w:t>
      </w:r>
      <w:r>
        <w:rPr>
          <w:rFonts w:ascii="Arial" w:cs="Arial" w:eastAsia="Arial" w:hAnsi="Arial"/>
          <w:sz w:val="24"/>
          <w:szCs w:val="24"/>
        </w:rPr>
        <w:t xml:space="preserve"> — consensus guidelines (Ionis/Genta/Roche/Antisense Pharma literature)</w:t>
      </w:r>
    </w:p>
    <w:p>
      <w:pPr>
        <w:pStyle w:val="Normal"/>
        <w:spacing w:after="100" w:line="360"/>
      </w:pPr>
      <w:r>
        <w:rPr>
          <w:rFonts w:ascii="Arial" w:cs="Arial" w:eastAsia="Arial" w:hAnsi="Arial"/>
          <w:b/>
          <w:bCs/>
          <w:sz w:val="24"/>
          <w:szCs w:val="24"/>
        </w:rPr>
        <w:t xml:space="preserve">Exemplary Sub-Prompts:</w:t>
      </w:r>
    </w:p>
    <w:p>
      <w:pPr>
        <w:pStyle w:val="Normal"/>
        <w:spacing w:after="100" w:line="360"/>
      </w:pPr>
      <w:r>
        <w:t xml:space="preserve">"Predict RNase H1 cleavage efficiency for each candidate; prioritize sites with strong RNase H motifs."</w:t>
      </w:r>
    </w:p>
    <w:p>
      <w:pPr>
        <w:pStyle w:val="Normal"/>
        <w:spacing w:after="100" w:line="360"/>
      </w:pPr>
      <w:r>
        <w:t xml:space="preserve">"Score exon skipping potential for candidates near splice junctions using ESEfinder."</w:t>
      </w:r>
    </w:p>
    <w:p>
      <w:pPr>
        <w:pStyle w:val="Normal"/>
        <w:spacing w:after="100" w:line="360"/>
      </w:pPr>
      <w:r>
        <w:t xml:space="preserve">"Apply Ionis design rules: penalize candidates with high repeat content, extreme GC bias, or secondary structure occlusion."</w:t>
      </w:r>
    </w:p>
    <w:p>
      <w:pPr>
        <w:pStyle w:val="Normal"/>
        <w:spacing w:after="100" w:line="360"/>
      </w:pPr>
      <w:r>
        <w:t xml:space="preserve">"Compare each candidate against Quiver validation data; flag sites with empirical IC50 &lt; 100 nM."</w:t>
      </w:r>
    </w:p>
    <w:p>
      <w:pPr>
        <w:pStyle w:val="Normal"/>
        <w:spacing w:after="100" w:line="360"/>
      </w:pPr>
      <w:r>
        <w:rPr>
          <w:rFonts w:ascii="Arial" w:cs="Arial" w:eastAsia="Arial" w:hAnsi="Arial"/>
          <w:b/>
          <w:bCs/>
          <w:sz w:val="24"/>
          <w:szCs w:val="24"/>
        </w:rPr>
        <w:t xml:space="preserve">Expected Outputs:</w:t>
      </w:r>
    </w:p>
    <w:p>
      <w:pPr>
        <w:pStyle w:val="Normal"/>
        <w:spacing w:after="100" w:line="360"/>
      </w:pPr>
      <w:r>
        <w:t xml:space="preserve">Efficacy scores for each candidate (0–100 scale or probabilistic confidence)</w:t>
      </w:r>
    </w:p>
    <w:p>
      <w:pPr>
        <w:pStyle w:val="Normal"/>
        <w:spacing w:after="100" w:line="360"/>
      </w:pPr>
      <w:r>
        <w:t xml:space="preserve">RNase H cleavage efficiency predictions</w:t>
      </w:r>
    </w:p>
    <w:p>
      <w:pPr>
        <w:pStyle w:val="Normal"/>
        <w:spacing w:after="100" w:line="360"/>
      </w:pPr>
      <w:r>
        <w:t xml:space="preserve">Splice modulation scores (if applicable)</w:t>
      </w:r>
    </w:p>
    <w:p>
      <w:pPr>
        <w:pStyle w:val="Normal"/>
        <w:spacing w:after="100" w:line="360"/>
      </w:pPr>
      <w:r>
        <w:t xml:space="preserve">Design rule violations and annotations (e.g., "repeat content high", "secondary structure blocks access")</w:t>
      </w:r>
    </w:p>
    <w:p>
      <w:pPr>
        <w:pStyle w:val="Normal"/>
        <w:spacing w:after="100" w:line="360"/>
      </w:pPr>
      <w:r>
        <w:t xml:space="preserve">Ranking of candidates by predicted efficacy</w:t>
      </w:r>
    </w:p>
    <w:p>
      <w:pPr>
        <w:pStyle w:val="Normal"/>
        <w:spacing w:after="200" w:line="360"/>
      </w:pPr>
      <w:r>
        <w:rPr>
          <w:rFonts w:ascii="Arial" w:cs="Arial" w:eastAsia="Arial" w:hAnsi="Arial"/>
          <w:b/>
          <w:bCs/>
          <w:sz w:val="24"/>
          <w:szCs w:val="24"/>
        </w:rPr>
        <w:t xml:space="preserve">Format: </w:t>
      </w:r>
      <w:r>
        <w:rPr>
          <w:rFonts w:ascii="Arial" w:cs="Arial" w:eastAsia="Arial" w:hAnsi="Arial"/>
          <w:sz w:val="24"/>
          <w:szCs w:val="24"/>
        </w:rPr>
        <w:t xml:space="preserve">Extended CSV with original thermodynamic columns plus: rnase_h_score, splice_mod_score, design_rule_penalty, efficacy_prediction_score, rank.</w:t>
      </w:r>
    </w:p>
    <w:p>
      <w:pPr>
        <w:pStyle w:val="Heading2"/>
        <w:spacing w:before="200" w:after="200" w:line="360"/>
      </w:pPr>
      <w:r>
        <w:t xml:space="preserve">Stage 4: Toxicity &amp; Immunogenicity Prediction</w:t>
      </w:r>
    </w:p>
    <w:p>
      <w:pPr>
        <w:pStyle w:val="Normal"/>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Systematically assess each candidate for hepatotoxicity risk, pro-inflammatory motif content, off-target binding capacity, and complement activation potential to identify safety liabilities and prevent clinical toxicities.</w:t>
      </w:r>
    </w:p>
    <w:p>
      <w:pPr>
        <w:pStyle w:val="Normal"/>
        <w:spacing w:after="100" w:line="360"/>
      </w:pPr>
      <w:r>
        <w:rPr>
          <w:rFonts w:ascii="Arial" w:cs="Arial" w:eastAsia="Arial" w:hAnsi="Arial"/>
          <w:b/>
          <w:bCs/>
          <w:sz w:val="24"/>
          <w:szCs w:val="24"/>
        </w:rPr>
        <w:t xml:space="preserve">Inputs:</w:t>
      </w:r>
    </w:p>
    <w:p>
      <w:pPr>
        <w:pStyle w:val="Normal"/>
        <w:spacing w:after="100" w:line="360"/>
      </w:pPr>
      <w:r>
        <w:t xml:space="preserve">Candidate ASO sequences from Stage 3</w:t>
      </w:r>
    </w:p>
    <w:p>
      <w:pPr>
        <w:pStyle w:val="Normal"/>
        <w:spacing w:after="100" w:line="360"/>
      </w:pPr>
      <w:r>
        <w:t xml:space="preserve">Human genome reference (for off-target analysis)</w:t>
      </w:r>
    </w:p>
    <w:p>
      <w:pPr>
        <w:pStyle w:val="Normal"/>
        <w:spacing w:after="100" w:line="360"/>
      </w:pPr>
      <w:r>
        <w:t xml:space="preserve">dbSNP variation database (SNP interference risk)</w:t>
      </w:r>
    </w:p>
    <w:p>
      <w:pPr>
        <w:pStyle w:val="Normal"/>
        <w:spacing w:after="100" w:line="360"/>
      </w:pPr>
      <w:r>
        <w:t xml:space="preserve">Published immunogenicity and safety literature</w:t>
      </w:r>
    </w:p>
    <w:p>
      <w:pPr>
        <w:pStyle w:val="Normal"/>
        <w:spacing w:after="100" w:line="360"/>
      </w:pPr>
      <w:r>
        <w:rPr>
          <w:rFonts w:ascii="Arial" w:cs="Arial" w:eastAsia="Arial" w:hAnsi="Arial"/>
          <w:b/>
          <w:bCs/>
          <w:sz w:val="24"/>
          <w:szCs w:val="24"/>
        </w:rPr>
        <w:t xml:space="preserve">Tools &amp; Databases Called:</w:t>
      </w:r>
    </w:p>
    <w:p>
      <w:pPr>
        <w:spacing w:after="100" w:line="360"/>
      </w:pPr>
      <w:r>
        <w:t xml:space="preserve">BLAST / Bowtie2</w:t>
      </w:r>
      <w:r>
        <w:rPr>
          <w:rFonts w:ascii="Arial" w:cs="Arial" w:eastAsia="Arial" w:hAnsi="Arial"/>
          <w:b/>
          <w:bCs/>
          <w:sz w:val="24"/>
          <w:szCs w:val="24"/>
        </w:rPr>
        <w:t xml:space="preserve">BLAST / Bowtie2</w:t>
      </w:r>
      <w:r>
        <w:rPr>
          <w:rFonts w:ascii="Arial" w:cs="Arial" w:eastAsia="Arial" w:hAnsi="Arial"/>
          <w:sz w:val="24"/>
          <w:szCs w:val="24"/>
        </w:rPr>
        <w:t xml:space="preserve"> — off-target binding search (e.g., ≤2 mismatches)</w:t>
      </w:r>
    </w:p>
    <w:p>
      <w:pPr>
        <w:spacing w:after="100" w:line="360"/>
      </w:pPr>
      <w:r>
        <w:t xml:space="preserve">TLR9 / Innate Immune Motif Scanner</w:t>
      </w:r>
      <w:r>
        <w:rPr>
          <w:rFonts w:ascii="Arial" w:cs="Arial" w:eastAsia="Arial" w:hAnsi="Arial"/>
          <w:b/>
          <w:bCs/>
          <w:sz w:val="24"/>
          <w:szCs w:val="24"/>
        </w:rPr>
        <w:t xml:space="preserve">TLR9 / Innate Immune Motif Scanner</w:t>
      </w:r>
      <w:r>
        <w:rPr>
          <w:rFonts w:ascii="Arial" w:cs="Arial" w:eastAsia="Arial" w:hAnsi="Arial"/>
          <w:sz w:val="24"/>
          <w:szCs w:val="24"/>
        </w:rPr>
        <w:t xml:space="preserve"> — detect pro-inflammatory CpG, GU-rich, and pattern recognition receptor motifs</w:t>
      </w:r>
    </w:p>
    <w:p>
      <w:pPr>
        <w:spacing w:after="100" w:line="360"/>
      </w:pPr>
      <w:r>
        <w:t xml:space="preserve">Quiver EP Toxicity Atlas</w:t>
      </w:r>
      <w:r>
        <w:rPr>
          <w:rFonts w:ascii="Arial" w:cs="Arial" w:eastAsia="Arial" w:hAnsi="Arial"/>
          <w:b/>
          <w:bCs/>
          <w:sz w:val="24"/>
          <w:szCs w:val="24"/>
        </w:rPr>
        <w:t xml:space="preserve">Quiver EP Toxicity Atlas</w:t>
      </w:r>
      <w:r>
        <w:rPr>
          <w:rFonts w:ascii="Arial" w:cs="Arial" w:eastAsia="Arial" w:hAnsi="Arial"/>
          <w:sz w:val="24"/>
          <w:szCs w:val="24"/>
        </w:rPr>
        <w:t xml:space="preserve"> — proprietary hepatotoxicity and safety database from preclinical screening</w:t>
      </w:r>
    </w:p>
    <w:p>
      <w:pPr>
        <w:spacing w:after="100" w:line="360"/>
      </w:pPr>
      <w:r>
        <w:t xml:space="preserve">Hepatotoxicity Prediction Models</w:t>
      </w:r>
      <w:r>
        <w:rPr>
          <w:rFonts w:ascii="Arial" w:cs="Arial" w:eastAsia="Arial" w:hAnsi="Arial"/>
          <w:b/>
          <w:bCs/>
          <w:sz w:val="24"/>
          <w:szCs w:val="24"/>
        </w:rPr>
        <w:t xml:space="preserve">Hepatotoxicity Prediction Models</w:t>
      </w:r>
      <w:r>
        <w:rPr>
          <w:rFonts w:ascii="Arial" w:cs="Arial" w:eastAsia="Arial" w:hAnsi="Arial"/>
          <w:sz w:val="24"/>
          <w:szCs w:val="24"/>
        </w:rPr>
        <w:t xml:space="preserve"> — machine-learning models trained on ASO safety and toxicology data</w:t>
      </w:r>
    </w:p>
    <w:p>
      <w:pPr>
        <w:spacing w:after="100" w:line="360"/>
      </w:pPr>
      <w:r>
        <w:t xml:space="preserve">Published Safety Literature</w:t>
      </w:r>
      <w:r>
        <w:rPr>
          <w:rFonts w:ascii="Arial" w:cs="Arial" w:eastAsia="Arial" w:hAnsi="Arial"/>
          <w:b/>
          <w:bCs/>
          <w:sz w:val="24"/>
          <w:szCs w:val="24"/>
        </w:rPr>
        <w:t xml:space="preserve">Published Safety Literature</w:t>
      </w:r>
      <w:r>
        <w:rPr>
          <w:rFonts w:ascii="Arial" w:cs="Arial" w:eastAsia="Arial" w:hAnsi="Arial"/>
          <w:sz w:val="24"/>
          <w:szCs w:val="24"/>
        </w:rPr>
        <w:t xml:space="preserve"> — systematic review of clinical and preclinical toxicity reports</w:t>
      </w:r>
    </w:p>
    <w:p>
      <w:pPr>
        <w:pStyle w:val="Normal"/>
        <w:spacing w:after="100" w:line="360"/>
      </w:pPr>
      <w:r>
        <w:rPr>
          <w:rFonts w:ascii="Arial" w:cs="Arial" w:eastAsia="Arial" w:hAnsi="Arial"/>
          <w:b/>
          <w:bCs/>
          <w:sz w:val="24"/>
          <w:szCs w:val="24"/>
        </w:rPr>
        <w:t xml:space="preserve">Exemplary Sub-Prompts:</w:t>
      </w:r>
    </w:p>
    <w:p>
      <w:pPr>
        <w:pStyle w:val="Normal"/>
        <w:spacing w:after="100" w:line="360"/>
      </w:pPr>
      <w:r>
        <w:t xml:space="preserve">"Perform BLAST search for off-target binding to all RefSeq genes; flag candidates with &gt;3 homologous sites."</w:t>
      </w:r>
    </w:p>
    <w:p>
      <w:pPr>
        <w:pStyle w:val="Normal"/>
        <w:spacing w:after="100" w:line="360"/>
      </w:pPr>
      <w:r>
        <w:t xml:space="preserve">"Scan each ASO for CpG dinucleotides and GU-rich repeats; score TLR9/inflammatory potential."</w:t>
      </w:r>
    </w:p>
    <w:p>
      <w:pPr>
        <w:pStyle w:val="Normal"/>
        <w:spacing w:after="100" w:line="360"/>
      </w:pPr>
      <w:r>
        <w:t xml:space="preserve">"Query Quiver Toxicity Atlas for historical ASO sequences similar to each candidate; extract hepatotoxicity risk scores."</w:t>
      </w:r>
    </w:p>
    <w:p>
      <w:pPr>
        <w:pStyle w:val="Normal"/>
        <w:spacing w:after="100" w:line="360"/>
      </w:pPr>
      <w:r>
        <w:t xml:space="preserve">"Apply machine-learning toxicity model; exclude candidates with predicted risk score &gt; 0.7."</w:t>
      </w:r>
    </w:p>
    <w:p>
      <w:pPr>
        <w:pStyle w:val="Normal"/>
        <w:spacing w:after="100" w:line="360"/>
      </w:pPr>
      <w:r>
        <w:rPr>
          <w:rFonts w:ascii="Arial" w:cs="Arial" w:eastAsia="Arial" w:hAnsi="Arial"/>
          <w:b/>
          <w:bCs/>
          <w:sz w:val="24"/>
          <w:szCs w:val="24"/>
        </w:rPr>
        <w:t xml:space="preserve">Expected Outputs:</w:t>
      </w:r>
    </w:p>
    <w:p>
      <w:pPr>
        <w:pStyle w:val="Normal"/>
        <w:spacing w:after="100" w:line="360"/>
      </w:pPr>
      <w:r>
        <w:t xml:space="preserve">Off-target binding map (gene, location, mismatch count) for each candidate</w:t>
      </w:r>
    </w:p>
    <w:p>
      <w:pPr>
        <w:pStyle w:val="Normal"/>
        <w:spacing w:after="100" w:line="360"/>
      </w:pPr>
      <w:r>
        <w:t xml:space="preserve">Immunogenic motif content and TLR9 risk scores</w:t>
      </w:r>
    </w:p>
    <w:p>
      <w:pPr>
        <w:pStyle w:val="Normal"/>
        <w:spacing w:after="100" w:line="360"/>
      </w:pPr>
      <w:r>
        <w:t xml:space="preserve">Hepatotoxicity risk predictions (low/medium/high or numeric score)</w:t>
      </w:r>
    </w:p>
    <w:p>
      <w:pPr>
        <w:pStyle w:val="Normal"/>
        <w:spacing w:after="100" w:line="360"/>
      </w:pPr>
      <w:r>
        <w:t xml:space="preserve">Complement activation potential flags</w:t>
      </w:r>
    </w:p>
    <w:p>
      <w:pPr>
        <w:pStyle w:val="Normal"/>
        <w:spacing w:after="100" w:line="360"/>
      </w:pPr>
      <w:r>
        <w:t xml:space="preserve">Safety summary table ranking candidates by toxicity risk</w:t>
      </w:r>
    </w:p>
    <w:p>
      <w:pPr>
        <w:pStyle w:val="Normal"/>
        <w:spacing w:after="200" w:line="360"/>
      </w:pPr>
      <w:r>
        <w:rPr>
          <w:rFonts w:ascii="Arial" w:cs="Arial" w:eastAsia="Arial" w:hAnsi="Arial"/>
          <w:b/>
          <w:bCs/>
          <w:sz w:val="24"/>
          <w:szCs w:val="24"/>
        </w:rPr>
        <w:t xml:space="preserve">Format: </w:t>
      </w:r>
      <w:r>
        <w:rPr>
          <w:rFonts w:ascii="Arial" w:cs="Arial" w:eastAsia="Arial" w:hAnsi="Arial"/>
          <w:sz w:val="24"/>
          <w:szCs w:val="24"/>
        </w:rPr>
        <w:t xml:space="preserve">Extended CSV with new columns: off_target_count, off_target_genes, cpg_count, gu_rich_score, tlr9_risk, hepatotoxicity_score, safety_rank.</w:t>
      </w:r>
    </w:p>
    <w:p>
      <w:pPr>
        <w:pStyle w:val="Heading2"/>
        <w:spacing w:before="200" w:after="200" w:line="360"/>
      </w:pPr>
      <w:r>
        <w:t xml:space="preserve">Stage 5: Selectivity &amp; Specificity Filtering</w:t>
      </w:r>
    </w:p>
    <w:p>
      <w:pPr>
        <w:pStyle w:val="Normal"/>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Filter candidates for off-target gene binding, SNP interference, and cross-reactivity with related transcripts (splice variants, paralogs, orthologs) to ensure therapeutic selectivity and minimize unintended effects on other genes or tissues.</w:t>
      </w:r>
    </w:p>
    <w:p>
      <w:pPr>
        <w:pStyle w:val="Normal"/>
        <w:spacing w:after="100" w:line="360"/>
      </w:pPr>
      <w:r>
        <w:rPr>
          <w:rFonts w:ascii="Arial" w:cs="Arial" w:eastAsia="Arial" w:hAnsi="Arial"/>
          <w:b/>
          <w:bCs/>
          <w:sz w:val="24"/>
          <w:szCs w:val="24"/>
        </w:rPr>
        <w:t xml:space="preserve">Inputs:</w:t>
      </w:r>
    </w:p>
    <w:p>
      <w:pPr>
        <w:pStyle w:val="Normal"/>
        <w:spacing w:after="100" w:line="360"/>
      </w:pPr>
      <w:r>
        <w:t xml:space="preserve">Off-target analysis from Stage 4</w:t>
      </w:r>
    </w:p>
    <w:p>
      <w:pPr>
        <w:pStyle w:val="Normal"/>
        <w:spacing w:after="100" w:line="360"/>
      </w:pPr>
      <w:r>
        <w:t xml:space="preserve">dbSNP database (common genetic variants)</w:t>
      </w:r>
    </w:p>
    <w:p>
      <w:pPr>
        <w:pStyle w:val="Normal"/>
        <w:spacing w:after="100" w:line="360"/>
      </w:pPr>
      <w:r>
        <w:t xml:space="preserve">gnomAD (global minor allele frequencies)</w:t>
      </w:r>
    </w:p>
    <w:p>
      <w:pPr>
        <w:pStyle w:val="Normal"/>
        <w:spacing w:after="100" w:line="360"/>
      </w:pPr>
      <w:r>
        <w:t xml:space="preserve">Ensembl gene family and ortholog definitions</w:t>
      </w:r>
    </w:p>
    <w:p>
      <w:pPr>
        <w:pStyle w:val="Normal"/>
        <w:spacing w:after="100" w:line="360"/>
      </w:pPr>
      <w:r>
        <w:rPr>
          <w:rFonts w:ascii="Arial" w:cs="Arial" w:eastAsia="Arial" w:hAnsi="Arial"/>
          <w:b/>
          <w:bCs/>
          <w:sz w:val="24"/>
          <w:szCs w:val="24"/>
        </w:rPr>
        <w:t xml:space="preserve">Tools &amp; Databases Called:</w:t>
      </w:r>
    </w:p>
    <w:p>
      <w:pPr>
        <w:spacing w:after="100" w:line="360"/>
      </w:pPr>
      <w:r>
        <w:t xml:space="preserve">BLAST</w:t>
      </w:r>
      <w:r>
        <w:rPr>
          <w:rFonts w:ascii="Arial" w:cs="Arial" w:eastAsia="Arial" w:hAnsi="Arial"/>
          <w:b/>
          <w:bCs/>
          <w:sz w:val="24"/>
          <w:szCs w:val="24"/>
        </w:rPr>
        <w:t xml:space="preserve">BLAST</w:t>
      </w:r>
      <w:r>
        <w:rPr>
          <w:rFonts w:ascii="Arial" w:cs="Arial" w:eastAsia="Arial" w:hAnsi="Arial"/>
          <w:sz w:val="24"/>
          <w:szCs w:val="24"/>
        </w:rPr>
        <w:t xml:space="preserve"> — detailed off-target homology analysis</w:t>
      </w:r>
    </w:p>
    <w:p>
      <w:pPr>
        <w:spacing w:after="100" w:line="360"/>
      </w:pPr>
      <w:r>
        <w:t xml:space="preserve">dbSNP</w:t>
      </w:r>
      <w:r>
        <w:rPr>
          <w:rFonts w:ascii="Arial" w:cs="Arial" w:eastAsia="Arial" w:hAnsi="Arial"/>
          <w:b/>
          <w:bCs/>
          <w:sz w:val="24"/>
          <w:szCs w:val="24"/>
        </w:rPr>
        <w:t xml:space="preserve">dbSNP</w:t>
      </w:r>
      <w:r>
        <w:rPr>
          <w:rFonts w:ascii="Arial" w:cs="Arial" w:eastAsia="Arial" w:hAnsi="Arial"/>
          <w:sz w:val="24"/>
          <w:szCs w:val="24"/>
        </w:rPr>
        <w:t xml:space="preserve"> — check for SNPs that affect ASO-target complementarity</w:t>
      </w:r>
    </w:p>
    <w:p>
      <w:pPr>
        <w:spacing w:after="100" w:line="360"/>
      </w:pPr>
      <w:r>
        <w:t xml:space="preserve">gnomAD</w:t>
      </w:r>
      <w:r>
        <w:rPr>
          <w:rFonts w:ascii="Arial" w:cs="Arial" w:eastAsia="Arial" w:hAnsi="Arial"/>
          <w:b/>
          <w:bCs/>
          <w:sz w:val="24"/>
          <w:szCs w:val="24"/>
        </w:rPr>
        <w:t xml:space="preserve">gnomAD</w:t>
      </w:r>
      <w:r>
        <w:rPr>
          <w:rFonts w:ascii="Arial" w:cs="Arial" w:eastAsia="Arial" w:hAnsi="Arial"/>
          <w:sz w:val="24"/>
          <w:szCs w:val="24"/>
        </w:rPr>
        <w:t xml:space="preserve"> — assess population frequency of SNP-susceptible variants</w:t>
      </w:r>
    </w:p>
    <w:p>
      <w:pPr>
        <w:spacing w:after="100" w:line="360"/>
      </w:pPr>
      <w:r>
        <w:t xml:space="preserve">Ensembl Compara</w:t>
      </w:r>
      <w:r>
        <w:rPr>
          <w:rFonts w:ascii="Arial" w:cs="Arial" w:eastAsia="Arial" w:hAnsi="Arial"/>
          <w:b/>
          <w:bCs/>
          <w:sz w:val="24"/>
          <w:szCs w:val="24"/>
        </w:rPr>
        <w:t xml:space="preserve">Ensembl Compara</w:t>
      </w:r>
      <w:r>
        <w:rPr>
          <w:rFonts w:ascii="Arial" w:cs="Arial" w:eastAsia="Arial" w:hAnsi="Arial"/>
          <w:sz w:val="24"/>
          <w:szCs w:val="24"/>
        </w:rPr>
        <w:t xml:space="preserve"> — analyze potential cross-reactivity with splice variants, gene family members, and orthologs</w:t>
      </w:r>
    </w:p>
    <w:p>
      <w:pPr>
        <w:pStyle w:val="Normal"/>
        <w:spacing w:after="100" w:line="360"/>
      </w:pPr>
      <w:r>
        <w:rPr>
          <w:rFonts w:ascii="Arial" w:cs="Arial" w:eastAsia="Arial" w:hAnsi="Arial"/>
          <w:b/>
          <w:bCs/>
          <w:sz w:val="24"/>
          <w:szCs w:val="24"/>
        </w:rPr>
        <w:t xml:space="preserve">Exemplary Sub-Prompts:</w:t>
      </w:r>
    </w:p>
    <w:p>
      <w:pPr>
        <w:pStyle w:val="Normal"/>
        <w:spacing w:after="100" w:line="360"/>
      </w:pPr>
      <w:r>
        <w:t xml:space="preserve">"For each candidate, check dbSNP for SNPs that would disrupt ASO binding in &gt;1% of populations."</w:t>
      </w:r>
    </w:p>
    <w:p>
      <w:pPr>
        <w:pStyle w:val="Normal"/>
        <w:spacing w:after="100" w:line="360"/>
      </w:pPr>
      <w:r>
        <w:t xml:space="preserve">"Analyze cross-reactivity risk with known BRCA1 splice isoforms and paralogs (BRCA2, BARD1, etc.)."</w:t>
      </w:r>
    </w:p>
    <w:p>
      <w:pPr>
        <w:pStyle w:val="Normal"/>
        <w:spacing w:after="100" w:line="360"/>
      </w:pPr>
      <w:r>
        <w:t xml:space="preserve">"Identify off-target genes with predicted knockdown risk; assess clinical relevance."</w:t>
      </w:r>
    </w:p>
    <w:p>
      <w:pPr>
        <w:pStyle w:val="Normal"/>
        <w:spacing w:after="100" w:line="360"/>
      </w:pPr>
      <w:r>
        <w:t xml:space="preserve">"Flag candidates with SNP-susceptible binding sites as lower priority."</w:t>
      </w:r>
    </w:p>
    <w:p>
      <w:pPr>
        <w:pStyle w:val="Normal"/>
        <w:spacing w:after="100" w:line="360"/>
      </w:pPr>
      <w:r>
        <w:rPr>
          <w:rFonts w:ascii="Arial" w:cs="Arial" w:eastAsia="Arial" w:hAnsi="Arial"/>
          <w:b/>
          <w:bCs/>
          <w:sz w:val="24"/>
          <w:szCs w:val="24"/>
        </w:rPr>
        <w:t xml:space="preserve">Expected Outputs:</w:t>
      </w:r>
    </w:p>
    <w:p>
      <w:pPr>
        <w:pStyle w:val="Normal"/>
        <w:spacing w:after="100" w:line="360"/>
      </w:pPr>
      <w:r>
        <w:t xml:space="preserve">SNP interference report (variant ID, position, allele frequency, impact on binding)</w:t>
      </w:r>
    </w:p>
    <w:p>
      <w:pPr>
        <w:pStyle w:val="Normal"/>
        <w:spacing w:after="100" w:line="360"/>
      </w:pPr>
      <w:r>
        <w:t xml:space="preserve">Cross-reactivity risk assessment (off-target genes, likelihood of unintended effects)</w:t>
      </w:r>
    </w:p>
    <w:p>
      <w:pPr>
        <w:pStyle w:val="Normal"/>
        <w:spacing w:after="100" w:line="360"/>
      </w:pPr>
      <w:r>
        <w:t xml:space="preserve">Splice variant compatibility (does ASO bind alternative isoforms?)</w:t>
      </w:r>
    </w:p>
    <w:p>
      <w:pPr>
        <w:pStyle w:val="Normal"/>
        <w:spacing w:after="100" w:line="360"/>
      </w:pPr>
      <w:r>
        <w:t xml:space="preserve">Ortholog off-target risk (xenograft or animal model toxicity prediction)</w:t>
      </w:r>
    </w:p>
    <w:p>
      <w:pPr>
        <w:pStyle w:val="Normal"/>
        <w:spacing w:after="100" w:line="360"/>
      </w:pPr>
      <w:r>
        <w:t xml:space="preserve">Selectivity score and filtering recommendations</w:t>
      </w:r>
    </w:p>
    <w:p>
      <w:pPr>
        <w:pStyle w:val="Normal"/>
        <w:spacing w:after="200" w:line="360"/>
      </w:pPr>
      <w:r>
        <w:rPr>
          <w:rFonts w:ascii="Arial" w:cs="Arial" w:eastAsia="Arial" w:hAnsi="Arial"/>
          <w:b/>
          <w:bCs/>
          <w:sz w:val="24"/>
          <w:szCs w:val="24"/>
        </w:rPr>
        <w:t xml:space="preserve">Format: </w:t>
      </w:r>
      <w:r>
        <w:rPr>
          <w:rFonts w:ascii="Arial" w:cs="Arial" w:eastAsia="Arial" w:hAnsi="Arial"/>
          <w:sz w:val="24"/>
          <w:szCs w:val="24"/>
        </w:rPr>
        <w:t xml:space="preserve">Extended CSV with new columns: snp_interference_risk, snp_variant_ids, cross_reactivity_genes, splice_variant_risk, selectivity_score, pass_filter (YES/NO).</w:t>
      </w:r>
    </w:p>
    <w:p>
      <w:pPr>
        <w:pStyle w:val="Heading2"/>
        <w:spacing w:before="200" w:after="200" w:line="360"/>
      </w:pPr>
      <w:r>
        <w:t xml:space="preserve">Stage 6: Integrated Ranking &amp; Recommendation</w:t>
      </w:r>
    </w:p>
    <w:p>
      <w:pPr>
        <w:pStyle w:val="Normal"/>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Integrate efficacy, toxicity, and selectivity scores into a unified composite ranking, apply Go/No-Go decision thresholds, and deliver a final prioritized list of recommended ASO target sites with actionable clinical recommendations.</w:t>
      </w:r>
    </w:p>
    <w:p>
      <w:pPr>
        <w:pStyle w:val="Normal"/>
        <w:spacing w:after="100" w:line="360"/>
      </w:pPr>
      <w:r>
        <w:rPr>
          <w:rFonts w:ascii="Arial" w:cs="Arial" w:eastAsia="Arial" w:hAnsi="Arial"/>
          <w:b/>
          <w:bCs/>
          <w:sz w:val="24"/>
          <w:szCs w:val="24"/>
        </w:rPr>
        <w:t xml:space="preserve">Inputs:</w:t>
      </w:r>
    </w:p>
    <w:p>
      <w:pPr>
        <w:pStyle w:val="Normal"/>
        <w:spacing w:after="100" w:line="360"/>
      </w:pPr>
      <w:r>
        <w:t xml:space="preserve">Complete candidate assessment data from all previous stages</w:t>
      </w:r>
    </w:p>
    <w:p>
      <w:pPr>
        <w:pStyle w:val="Normal"/>
        <w:spacing w:after="100" w:line="360"/>
      </w:pPr>
      <w:r>
        <w:t xml:space="preserve">Clinical efficacy targets (desired IC50, target knockdown %)</w:t>
      </w:r>
    </w:p>
    <w:p>
      <w:pPr>
        <w:pStyle w:val="Normal"/>
        <w:spacing w:after="100" w:line="360"/>
      </w:pPr>
      <w:r>
        <w:t xml:space="preserve">Safety thresholds (maximum acceptable hepatotoxicity, immunogenicity scores)</w:t>
      </w:r>
    </w:p>
    <w:p>
      <w:pPr>
        <w:pStyle w:val="Normal"/>
        <w:spacing w:after="100" w:line="360"/>
      </w:pPr>
      <w:r>
        <w:t xml:space="preserve">Selectivity cutoffs (maximum off-target gene count, SNP allele frequency limits)</w:t>
      </w:r>
    </w:p>
    <w:p>
      <w:pPr>
        <w:pStyle w:val="Normal"/>
        <w:spacing w:after="100" w:line="360"/>
      </w:pPr>
      <w:r>
        <w:rPr>
          <w:rFonts w:ascii="Arial" w:cs="Arial" w:eastAsia="Arial" w:hAnsi="Arial"/>
          <w:b/>
          <w:bCs/>
          <w:sz w:val="24"/>
          <w:szCs w:val="24"/>
        </w:rPr>
        <w:t xml:space="preserve">Tools &amp; Databases Called:</w:t>
      </w:r>
    </w:p>
    <w:p>
      <w:pPr>
        <w:spacing w:after="100" w:line="360"/>
      </w:pPr>
      <w:r>
        <w:t xml:space="preserve">Sapphire Composite Scoring Engine</w:t>
      </w:r>
      <w:r>
        <w:rPr>
          <w:rFonts w:ascii="Arial" w:cs="Arial" w:eastAsia="Arial" w:hAnsi="Arial"/>
          <w:b/>
          <w:bCs/>
          <w:sz w:val="24"/>
          <w:szCs w:val="24"/>
        </w:rPr>
        <w:t xml:space="preserve">Sapphire Composite Scoring Engine</w:t>
      </w:r>
      <w:r>
        <w:rPr>
          <w:rFonts w:ascii="Arial" w:cs="Arial" w:eastAsia="Arial" w:hAnsi="Arial"/>
          <w:sz w:val="24"/>
          <w:szCs w:val="24"/>
        </w:rPr>
        <w:t xml:space="preserve"> — multi-criteria decision analysis integrating efficacy, toxicity, and selectivity with configurable weights</w:t>
      </w:r>
    </w:p>
    <w:p>
      <w:pPr>
        <w:spacing w:after="100" w:line="360"/>
      </w:pPr>
      <w:r>
        <w:t xml:space="preserve">Quiver Confidence Scoring</w:t>
      </w:r>
      <w:r>
        <w:rPr>
          <w:rFonts w:ascii="Arial" w:cs="Arial" w:eastAsia="Arial" w:hAnsi="Arial"/>
          <w:b/>
          <w:bCs/>
          <w:sz w:val="24"/>
          <w:szCs w:val="24"/>
        </w:rPr>
        <w:t xml:space="preserve">Quiver Confidence Scoring</w:t>
      </w:r>
      <w:r>
        <w:rPr>
          <w:rFonts w:ascii="Arial" w:cs="Arial" w:eastAsia="Arial" w:hAnsi="Arial"/>
          <w:sz w:val="24"/>
          <w:szCs w:val="24"/>
        </w:rPr>
        <w:t xml:space="preserve"> — confidence intervals and prediction uncertainty quantification</w:t>
      </w:r>
    </w:p>
    <w:p>
      <w:pPr>
        <w:pStyle w:val="Normal"/>
        <w:spacing w:after="100" w:line="360"/>
      </w:pPr>
      <w:r>
        <w:rPr>
          <w:rFonts w:ascii="Arial" w:cs="Arial" w:eastAsia="Arial" w:hAnsi="Arial"/>
          <w:b/>
          <w:bCs/>
          <w:sz w:val="24"/>
          <w:szCs w:val="24"/>
        </w:rPr>
        <w:t xml:space="preserve">Exemplary Sub-Prompts:</w:t>
      </w:r>
    </w:p>
    <w:p>
      <w:pPr>
        <w:pStyle w:val="Normal"/>
        <w:spacing w:after="100" w:line="360"/>
      </w:pPr>
      <w:r>
        <w:t xml:space="preserve">"Apply weighted composite scoring: efficacy (40%), hepatotoxicity (35%), off-target risk (15%), selectivity (10%)."</w:t>
      </w:r>
    </w:p>
    <w:p>
      <w:pPr>
        <w:pStyle w:val="Normal"/>
        <w:spacing w:after="100" w:line="360"/>
      </w:pPr>
      <w:r>
        <w:t xml:space="preserve">"Apply Go/No-Go filters: efficacy &gt; 70, hepatotoxicity risk &lt; 0.3, off-target gene count ≤ 2."</w:t>
      </w:r>
    </w:p>
    <w:p>
      <w:pPr>
        <w:pStyle w:val="Normal"/>
        <w:spacing w:after="100" w:line="360"/>
      </w:pPr>
      <w:r>
        <w:t xml:space="preserve">"Rank final candidates and display top 5 recommendations with justification, confidence scores, and preclinical next steps."</w:t>
      </w:r>
    </w:p>
    <w:p>
      <w:pPr>
        <w:pStyle w:val="Normal"/>
        <w:spacing w:after="100" w:line="360"/>
      </w:pPr>
      <w:r>
        <w:t xml:space="preserve">"Highlight candidates suitable for splice modulation vs. RNase H knockdown; suggest functional assay priorities."</w:t>
      </w:r>
    </w:p>
    <w:p>
      <w:pPr>
        <w:pStyle w:val="Normal"/>
        <w:spacing w:after="100" w:line="360"/>
      </w:pPr>
      <w:r>
        <w:rPr>
          <w:rFonts w:ascii="Arial" w:cs="Arial" w:eastAsia="Arial" w:hAnsi="Arial"/>
          <w:b/>
          <w:bCs/>
          <w:sz w:val="24"/>
          <w:szCs w:val="24"/>
        </w:rPr>
        <w:t xml:space="preserve">Expected Outputs:</w:t>
      </w:r>
    </w:p>
    <w:p>
      <w:pPr>
        <w:pStyle w:val="Normal"/>
        <w:spacing w:after="100" w:line="360"/>
      </w:pPr>
      <w:r>
        <w:t xml:space="preserve">Composite efficacy-toxicity-selectivity score for each candidate</w:t>
      </w:r>
    </w:p>
    <w:p>
      <w:pPr>
        <w:pStyle w:val="Normal"/>
        <w:spacing w:after="100" w:line="360"/>
      </w:pPr>
      <w:r>
        <w:t xml:space="preserve">Final ranked list (top 5–10 candidates) with Go/No-Go recommendation</w:t>
      </w:r>
    </w:p>
    <w:p>
      <w:pPr>
        <w:pStyle w:val="Normal"/>
        <w:spacing w:after="100" w:line="360"/>
      </w:pPr>
      <w:r>
        <w:t xml:space="preserve">Confidence intervals and uncertainty quantification</w:t>
      </w:r>
    </w:p>
    <w:p>
      <w:pPr>
        <w:pStyle w:val="Normal"/>
        <w:spacing w:after="100" w:line="360"/>
      </w:pPr>
      <w:r>
        <w:t xml:space="preserve">Mechanism annotation (RNase H cleavage, splice modulation, translation block)</w:t>
      </w:r>
    </w:p>
    <w:p>
      <w:pPr>
        <w:pStyle w:val="Normal"/>
        <w:spacing w:after="100" w:line="360"/>
      </w:pPr>
      <w:r>
        <w:t xml:space="preserve">Detailed justification for each recommendation</w:t>
      </w:r>
    </w:p>
    <w:p>
      <w:pPr>
        <w:pStyle w:val="Normal"/>
        <w:spacing w:after="100" w:line="360"/>
      </w:pPr>
      <w:r>
        <w:t xml:space="preserve">Suggested preclinical validation priorities (cell-based knockdown assays, off-target phenotyping, safety screening)</w:t>
      </w:r>
    </w:p>
    <w:p>
      <w:pPr>
        <w:pStyle w:val="Normal"/>
        <w:spacing w:after="200" w:line="360"/>
      </w:pPr>
      <w:r>
        <w:rPr>
          <w:rFonts w:ascii="Arial" w:cs="Arial" w:eastAsia="Arial" w:hAnsi="Arial"/>
          <w:b/>
          <w:bCs/>
          <w:sz w:val="24"/>
          <w:szCs w:val="24"/>
        </w:rPr>
        <w:t xml:space="preserve">Format: </w:t>
      </w:r>
      <w:r>
        <w:rPr>
          <w:rFonts w:ascii="Arial" w:cs="Arial" w:eastAsia="Arial" w:hAnsi="Arial"/>
          <w:sz w:val="24"/>
          <w:szCs w:val="24"/>
        </w:rPr>
        <w:t xml:space="preserve">Ranked table with columns: rank, coordinate, sequence, efficacy_score, safety_score, selectivity_score, composite_score, recommendation (GO/CONSIDER/NO-GO), mechanism, confidence_interval, clinical_rationale, next_assay_steps.</w:t>
      </w:r>
    </w:p>
    <w:p>
      <w:pPr>
        <w:pStyle w:val="Heading2"/>
        <w:spacing w:before="200" w:after="200" w:line="360"/>
      </w:pPr>
      <w:r>
        <w:t xml:space="preserve">Tools &amp; Databases Summary</w:t>
      </w:r>
    </w:p>
    <w:p>
      <w:pPr>
        <w:spacing w:after="100" w:line="360"/>
      </w:pPr>
      <w:r>
        <w:t xml:space="preserve">Ensembl REST API</w:t>
      </w:r>
      <w:r>
        <w:rPr>
          <w:rFonts w:ascii="Arial" w:cs="Arial" w:eastAsia="Arial" w:hAnsi="Arial"/>
          <w:b/>
          <w:bCs/>
          <w:sz w:val="24"/>
          <w:szCs w:val="24"/>
        </w:rPr>
        <w:t xml:space="preserve">Ensembl REST API</w:t>
      </w:r>
      <w:r>
        <w:rPr>
          <w:rFonts w:ascii="Arial" w:cs="Arial" w:eastAsia="Arial" w:hAnsi="Arial"/>
          <w:sz w:val="24"/>
          <w:szCs w:val="24"/>
        </w:rPr>
        <w:t xml:space="preserve"> — Comprehensive genomic sequence, annotation, and transcript retrieval</w:t>
      </w:r>
    </w:p>
    <w:p>
      <w:pPr>
        <w:spacing w:after="100" w:line="360"/>
      </w:pPr>
      <w:r>
        <w:t xml:space="preserve">NCBI RefSeq</w:t>
      </w:r>
      <w:r>
        <w:rPr>
          <w:rFonts w:ascii="Arial" w:cs="Arial" w:eastAsia="Arial" w:hAnsi="Arial"/>
          <w:b/>
          <w:bCs/>
          <w:sz w:val="24"/>
          <w:szCs w:val="24"/>
        </w:rPr>
        <w:t xml:space="preserve">NCBI RefSeq</w:t>
      </w:r>
      <w:r>
        <w:rPr>
          <w:rFonts w:ascii="Arial" w:cs="Arial" w:eastAsia="Arial" w:hAnsi="Arial"/>
          <w:sz w:val="24"/>
          <w:szCs w:val="24"/>
        </w:rPr>
        <w:t xml:space="preserve"> — Authoritative reference sequence database and variant information</w:t>
      </w:r>
    </w:p>
    <w:p>
      <w:pPr>
        <w:spacing w:after="100" w:line="360"/>
      </w:pPr>
      <w:r>
        <w:t xml:space="preserve">GENCODE</w:t>
      </w:r>
      <w:r>
        <w:rPr>
          <w:rFonts w:ascii="Arial" w:cs="Arial" w:eastAsia="Arial" w:hAnsi="Arial"/>
          <w:b/>
          <w:bCs/>
          <w:sz w:val="24"/>
          <w:szCs w:val="24"/>
        </w:rPr>
        <w:t xml:space="preserve">GENCODE</w:t>
      </w:r>
      <w:r>
        <w:rPr>
          <w:rFonts w:ascii="Arial" w:cs="Arial" w:eastAsia="Arial" w:hAnsi="Arial"/>
          <w:sz w:val="24"/>
          <w:szCs w:val="24"/>
        </w:rPr>
        <w:t xml:space="preserve"> — High-quality transcript annotation and exon-intron mapping</w:t>
      </w:r>
    </w:p>
    <w:p>
      <w:pPr>
        <w:spacing w:after="100" w:line="360"/>
      </w:pPr>
      <w:r>
        <w:t xml:space="preserve">UTRdb</w:t>
      </w:r>
      <w:r>
        <w:rPr>
          <w:rFonts w:ascii="Arial" w:cs="Arial" w:eastAsia="Arial" w:hAnsi="Arial"/>
          <w:b/>
          <w:bCs/>
          <w:sz w:val="24"/>
          <w:szCs w:val="24"/>
        </w:rPr>
        <w:t xml:space="preserve">UTRdb</w:t>
      </w:r>
      <w:r>
        <w:rPr>
          <w:rFonts w:ascii="Arial" w:cs="Arial" w:eastAsia="Arial" w:hAnsi="Arial"/>
          <w:sz w:val="24"/>
          <w:szCs w:val="24"/>
        </w:rPr>
        <w:t xml:space="preserve"> — 5' and 3' UTR boundary and regulatory element annotation</w:t>
      </w:r>
    </w:p>
    <w:p>
      <w:pPr>
        <w:spacing w:after="100" w:line="360"/>
      </w:pPr>
      <w:r>
        <w:t xml:space="preserve">Quiver ASO Design Module</w:t>
      </w:r>
      <w:r>
        <w:rPr>
          <w:rFonts w:ascii="Arial" w:cs="Arial" w:eastAsia="Arial" w:hAnsi="Arial"/>
          <w:b/>
          <w:bCs/>
          <w:sz w:val="24"/>
          <w:szCs w:val="24"/>
        </w:rPr>
        <w:t xml:space="preserve">Quiver ASO Design Module</w:t>
      </w:r>
      <w:r>
        <w:rPr>
          <w:rFonts w:ascii="Arial" w:cs="Arial" w:eastAsia="Arial" w:hAnsi="Arial"/>
          <w:sz w:val="24"/>
          <w:szCs w:val="24"/>
        </w:rPr>
        <w:t xml:space="preserve"> — Proprietary tile-walking algorithm with thermodynamic predictions</w:t>
      </w:r>
    </w:p>
    <w:p>
      <w:pPr>
        <w:spacing w:after="100" w:line="360"/>
      </w:pPr>
      <w:r>
        <w:t xml:space="preserve">OligoCalc</w:t>
      </w:r>
      <w:r>
        <w:rPr>
          <w:rFonts w:ascii="Arial" w:cs="Arial" w:eastAsia="Arial" w:hAnsi="Arial"/>
          <w:b/>
          <w:bCs/>
          <w:sz w:val="24"/>
          <w:szCs w:val="24"/>
        </w:rPr>
        <w:t xml:space="preserve">OligoCalc</w:t>
      </w:r>
      <w:r>
        <w:rPr>
          <w:rFonts w:ascii="Arial" w:cs="Arial" w:eastAsia="Arial" w:hAnsi="Arial"/>
          <w:sz w:val="24"/>
          <w:szCs w:val="24"/>
        </w:rPr>
        <w:t xml:space="preserve"> — Oligonucleotide Tm, GC%, secondary structure calculator</w:t>
      </w:r>
    </w:p>
    <w:p>
      <w:pPr>
        <w:spacing w:after="100" w:line="360"/>
      </w:pPr>
      <w:r>
        <w:t xml:space="preserve">Mfold / UNAfold</w:t>
      </w:r>
      <w:r>
        <w:rPr>
          <w:rFonts w:ascii="Arial" w:cs="Arial" w:eastAsia="Arial" w:hAnsi="Arial"/>
          <w:b/>
          <w:bCs/>
          <w:sz w:val="24"/>
          <w:szCs w:val="24"/>
        </w:rPr>
        <w:t xml:space="preserve">Mfold / UNAfold</w:t>
      </w:r>
      <w:r>
        <w:rPr>
          <w:rFonts w:ascii="Arial" w:cs="Arial" w:eastAsia="Arial" w:hAnsi="Arial"/>
          <w:sz w:val="24"/>
          <w:szCs w:val="24"/>
        </w:rPr>
        <w:t xml:space="preserve"> — RNA secondary structure prediction and free energy calculations</w:t>
      </w:r>
    </w:p>
    <w:p>
      <w:pPr>
        <w:spacing w:after="100" w:line="360"/>
      </w:pPr>
      <w:r>
        <w:t xml:space="preserve">RNAfold (ViennaRNA Package)</w:t>
      </w:r>
      <w:r>
        <w:rPr>
          <w:rFonts w:ascii="Arial" w:cs="Arial" w:eastAsia="Arial" w:hAnsi="Arial"/>
          <w:b/>
          <w:bCs/>
          <w:sz w:val="24"/>
          <w:szCs w:val="24"/>
        </w:rPr>
        <w:t xml:space="preserve">RNAfold (ViennaRNA Package)</w:t>
      </w:r>
      <w:r>
        <w:rPr>
          <w:rFonts w:ascii="Arial" w:cs="Arial" w:eastAsia="Arial" w:hAnsi="Arial"/>
          <w:sz w:val="24"/>
          <w:szCs w:val="24"/>
        </w:rPr>
        <w:t xml:space="preserve"> — Thermodynamic RNA folding and accessibility prediction</w:t>
      </w:r>
    </w:p>
    <w:p>
      <w:pPr>
        <w:spacing w:after="100" w:line="360"/>
      </w:pPr>
      <w:r>
        <w:t xml:space="preserve">RNase H Site Prediction Algorithms</w:t>
      </w:r>
      <w:r>
        <w:rPr>
          <w:rFonts w:ascii="Arial" w:cs="Arial" w:eastAsia="Arial" w:hAnsi="Arial"/>
          <w:b/>
          <w:bCs/>
          <w:sz w:val="24"/>
          <w:szCs w:val="24"/>
        </w:rPr>
        <w:t xml:space="preserve">RNase H Site Prediction Algorithms</w:t>
      </w:r>
      <w:r>
        <w:rPr>
          <w:rFonts w:ascii="Arial" w:cs="Arial" w:eastAsia="Arial" w:hAnsi="Arial"/>
          <w:sz w:val="24"/>
          <w:szCs w:val="24"/>
        </w:rPr>
        <w:t xml:space="preserve"> — RNase H1 cleavage site scoring and efficiency modeling</w:t>
      </w:r>
    </w:p>
    <w:p>
      <w:pPr>
        <w:spacing w:after="100" w:line="360"/>
      </w:pPr>
      <w:r>
        <w:t xml:space="preserve">ESEfinder / SpliceAid</w:t>
      </w:r>
      <w:r>
        <w:rPr>
          <w:rFonts w:ascii="Arial" w:cs="Arial" w:eastAsia="Arial" w:hAnsi="Arial"/>
          <w:b/>
          <w:bCs/>
          <w:sz w:val="24"/>
          <w:szCs w:val="24"/>
        </w:rPr>
        <w:t xml:space="preserve">ESEfinder / SpliceAid</w:t>
      </w:r>
      <w:r>
        <w:rPr>
          <w:rFonts w:ascii="Arial" w:cs="Arial" w:eastAsia="Arial" w:hAnsi="Arial"/>
          <w:sz w:val="24"/>
          <w:szCs w:val="24"/>
        </w:rPr>
        <w:t xml:space="preserve"> — Splice site strength prediction and exon skipping potential</w:t>
      </w:r>
    </w:p>
    <w:p>
      <w:pPr>
        <w:spacing w:after="100" w:line="360"/>
      </w:pPr>
      <w:r>
        <w:t xml:space="preserve">Quiver EP Validation Data</w:t>
      </w:r>
      <w:r>
        <w:rPr>
          <w:rFonts w:ascii="Arial" w:cs="Arial" w:eastAsia="Arial" w:hAnsi="Arial"/>
          <w:b/>
          <w:bCs/>
          <w:sz w:val="24"/>
          <w:szCs w:val="24"/>
        </w:rPr>
        <w:t xml:space="preserve">Quiver EP Validation Data</w:t>
      </w:r>
      <w:r>
        <w:rPr>
          <w:rFonts w:ascii="Arial" w:cs="Arial" w:eastAsia="Arial" w:hAnsi="Arial"/>
          <w:sz w:val="24"/>
          <w:szCs w:val="24"/>
        </w:rPr>
        <w:t xml:space="preserve"> — Empirical ASO efficacy from cell-based validation experiments</w:t>
      </w:r>
    </w:p>
    <w:p>
      <w:pPr>
        <w:spacing w:after="100" w:line="360"/>
      </w:pPr>
      <w:r>
        <w:t xml:space="preserve">Published ASO Design Rule Sets</w:t>
      </w:r>
      <w:r>
        <w:rPr>
          <w:rFonts w:ascii="Arial" w:cs="Arial" w:eastAsia="Arial" w:hAnsi="Arial"/>
          <w:b/>
          <w:bCs/>
          <w:sz w:val="24"/>
          <w:szCs w:val="24"/>
        </w:rPr>
        <w:t xml:space="preserve">Published ASO Design Rule Sets</w:t>
      </w:r>
      <w:r>
        <w:rPr>
          <w:rFonts w:ascii="Arial" w:cs="Arial" w:eastAsia="Arial" w:hAnsi="Arial"/>
          <w:sz w:val="24"/>
          <w:szCs w:val="24"/>
        </w:rPr>
        <w:t xml:space="preserve"> — Ionis, Roche, and Genta consensus guidelines</w:t>
      </w:r>
    </w:p>
    <w:p>
      <w:pPr>
        <w:spacing w:after="100" w:line="360"/>
      </w:pPr>
      <w:r>
        <w:t xml:space="preserve">BLAST / Bowtie2</w:t>
      </w:r>
      <w:r>
        <w:rPr>
          <w:rFonts w:ascii="Arial" w:cs="Arial" w:eastAsia="Arial" w:hAnsi="Arial"/>
          <w:b/>
          <w:bCs/>
          <w:sz w:val="24"/>
          <w:szCs w:val="24"/>
        </w:rPr>
        <w:t xml:space="preserve">BLAST / Bowtie2</w:t>
      </w:r>
      <w:r>
        <w:rPr>
          <w:rFonts w:ascii="Arial" w:cs="Arial" w:eastAsia="Arial" w:hAnsi="Arial"/>
          <w:sz w:val="24"/>
          <w:szCs w:val="24"/>
        </w:rPr>
        <w:t xml:space="preserve"> — Off-target sequence homology search and alignment</w:t>
      </w:r>
    </w:p>
    <w:p>
      <w:pPr>
        <w:spacing w:after="100" w:line="360"/>
      </w:pPr>
      <w:r>
        <w:t xml:space="preserve">TLR9 / Innate Immune Motif Scanner</w:t>
      </w:r>
      <w:r>
        <w:rPr>
          <w:rFonts w:ascii="Arial" w:cs="Arial" w:eastAsia="Arial" w:hAnsi="Arial"/>
          <w:b/>
          <w:bCs/>
          <w:sz w:val="24"/>
          <w:szCs w:val="24"/>
        </w:rPr>
        <w:t xml:space="preserve">TLR9 / Innate Immune Motif Scanner</w:t>
      </w:r>
      <w:r>
        <w:rPr>
          <w:rFonts w:ascii="Arial" w:cs="Arial" w:eastAsia="Arial" w:hAnsi="Arial"/>
          <w:sz w:val="24"/>
          <w:szCs w:val="24"/>
        </w:rPr>
        <w:t xml:space="preserve"> — Pro-inflammatory motif (CpG, GU-rich) detection</w:t>
      </w:r>
    </w:p>
    <w:p>
      <w:pPr>
        <w:spacing w:after="100" w:line="360"/>
      </w:pPr>
      <w:r>
        <w:t xml:space="preserve">Quiver EP Toxicity Atlas</w:t>
      </w:r>
      <w:r>
        <w:rPr>
          <w:rFonts w:ascii="Arial" w:cs="Arial" w:eastAsia="Arial" w:hAnsi="Arial"/>
          <w:b/>
          <w:bCs/>
          <w:sz w:val="24"/>
          <w:szCs w:val="24"/>
        </w:rPr>
        <w:t xml:space="preserve">Quiver EP Toxicity Atlas</w:t>
      </w:r>
      <w:r>
        <w:rPr>
          <w:rFonts w:ascii="Arial" w:cs="Arial" w:eastAsia="Arial" w:hAnsi="Arial"/>
          <w:sz w:val="24"/>
          <w:szCs w:val="24"/>
        </w:rPr>
        <w:t xml:space="preserve"> — Proprietary hepatotoxicity and safety database</w:t>
      </w:r>
    </w:p>
    <w:p>
      <w:pPr>
        <w:spacing w:after="100" w:line="360"/>
      </w:pPr>
      <w:r>
        <w:t xml:space="preserve">Hepatotoxicity Prediction Models</w:t>
      </w:r>
      <w:r>
        <w:rPr>
          <w:rFonts w:ascii="Arial" w:cs="Arial" w:eastAsia="Arial" w:hAnsi="Arial"/>
          <w:b/>
          <w:bCs/>
          <w:sz w:val="24"/>
          <w:szCs w:val="24"/>
        </w:rPr>
        <w:t xml:space="preserve">Hepatotoxicity Prediction Models</w:t>
      </w:r>
      <w:r>
        <w:rPr>
          <w:rFonts w:ascii="Arial" w:cs="Arial" w:eastAsia="Arial" w:hAnsi="Arial"/>
          <w:sz w:val="24"/>
          <w:szCs w:val="24"/>
        </w:rPr>
        <w:t xml:space="preserve"> — Machine-learning safety prediction</w:t>
      </w:r>
    </w:p>
    <w:p>
      <w:pPr>
        <w:spacing w:after="100" w:line="360"/>
      </w:pPr>
      <w:r>
        <w:t xml:space="preserve">dbSNP</w:t>
      </w:r>
      <w:r>
        <w:rPr>
          <w:rFonts w:ascii="Arial" w:cs="Arial" w:eastAsia="Arial" w:hAnsi="Arial"/>
          <w:b/>
          <w:bCs/>
          <w:sz w:val="24"/>
          <w:szCs w:val="24"/>
        </w:rPr>
        <w:t xml:space="preserve">dbSNP</w:t>
      </w:r>
      <w:r>
        <w:rPr>
          <w:rFonts w:ascii="Arial" w:cs="Arial" w:eastAsia="Arial" w:hAnsi="Arial"/>
          <w:sz w:val="24"/>
          <w:szCs w:val="24"/>
        </w:rPr>
        <w:t xml:space="preserve"> — Common genetic variants and SNP-ASO interaction risk</w:t>
      </w:r>
    </w:p>
    <w:p>
      <w:pPr>
        <w:spacing w:after="100" w:line="360"/>
      </w:pPr>
      <w:r>
        <w:t xml:space="preserve">gnomAD</w:t>
      </w:r>
      <w:r>
        <w:rPr>
          <w:rFonts w:ascii="Arial" w:cs="Arial" w:eastAsia="Arial" w:hAnsi="Arial"/>
          <w:b/>
          <w:bCs/>
          <w:sz w:val="24"/>
          <w:szCs w:val="24"/>
        </w:rPr>
        <w:t xml:space="preserve">gnomAD</w:t>
      </w:r>
      <w:r>
        <w:rPr>
          <w:rFonts w:ascii="Arial" w:cs="Arial" w:eastAsia="Arial" w:hAnsi="Arial"/>
          <w:sz w:val="24"/>
          <w:szCs w:val="24"/>
        </w:rPr>
        <w:t xml:space="preserve"> — Global allele frequency database for population-level selectivity assessment</w:t>
      </w:r>
    </w:p>
    <w:p>
      <w:pPr>
        <w:spacing w:after="100" w:line="360"/>
      </w:pPr>
      <w:r>
        <w:t xml:space="preserve">Ensembl Compara</w:t>
      </w:r>
      <w:r>
        <w:rPr>
          <w:rFonts w:ascii="Arial" w:cs="Arial" w:eastAsia="Arial" w:hAnsi="Arial"/>
          <w:b/>
          <w:bCs/>
          <w:sz w:val="24"/>
          <w:szCs w:val="24"/>
        </w:rPr>
        <w:t xml:space="preserve">Ensembl Compara</w:t>
      </w:r>
      <w:r>
        <w:rPr>
          <w:rFonts w:ascii="Arial" w:cs="Arial" w:eastAsia="Arial" w:hAnsi="Arial"/>
          <w:sz w:val="24"/>
          <w:szCs w:val="24"/>
        </w:rPr>
        <w:t xml:space="preserve"> — Ortholog, paralog, and splice variant cross-reactivity analysis</w:t>
      </w:r>
    </w:p>
    <w:p>
      <w:pPr>
        <w:spacing w:after="100" w:line="360"/>
      </w:pPr>
      <w:r>
        <w:t xml:space="preserve">Sapphire Composite Scoring Engine</w:t>
      </w:r>
      <w:r>
        <w:rPr>
          <w:rFonts w:ascii="Arial" w:cs="Arial" w:eastAsia="Arial" w:hAnsi="Arial"/>
          <w:b/>
          <w:bCs/>
          <w:sz w:val="24"/>
          <w:szCs w:val="24"/>
        </w:rPr>
        <w:t xml:space="preserve">Sapphire Composite Scoring Engine</w:t>
      </w:r>
      <w:r>
        <w:rPr>
          <w:rFonts w:ascii="Arial" w:cs="Arial" w:eastAsia="Arial" w:hAnsi="Arial"/>
          <w:sz w:val="24"/>
          <w:szCs w:val="24"/>
        </w:rPr>
        <w:t xml:space="preserve"> — Multi-criteria integration of efficacy, toxicity, and selectivity</w:t>
      </w:r>
    </w:p>
    <w:p>
      <w:pPr>
        <w:spacing w:after="100" w:line="360"/>
      </w:pPr>
      <w:r>
        <w:t xml:space="preserve">Quiver Confidence Scoring</w:t>
      </w:r>
      <w:r>
        <w:rPr>
          <w:rFonts w:ascii="Arial" w:cs="Arial" w:eastAsia="Arial" w:hAnsi="Arial"/>
          <w:b/>
          <w:bCs/>
          <w:sz w:val="24"/>
          <w:szCs w:val="24"/>
        </w:rPr>
        <w:t xml:space="preserve">Quiver Confidence Scoring</w:t>
      </w:r>
      <w:r>
        <w:rPr>
          <w:rFonts w:ascii="Arial" w:cs="Arial" w:eastAsia="Arial" w:hAnsi="Arial"/>
          <w:sz w:val="24"/>
          <w:szCs w:val="24"/>
        </w:rPr>
        <w:t xml:space="preserve"> — Confidence intervals and prediction uncertainty quantification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pPr>
    <w:rPr>
      <w:rFonts w:ascii="Arial" w:cs="Arial" w:eastAsia="Arial" w:hAnsi="Arial"/>
      <w:b/>
      <w:bCs/>
      <w:sz w:val="32"/>
      <w:szCs w:val="32"/>
    </w:rPr>
  </w:style>
  <w:style w:type="paragraph" w:styleId="Heading2">
    <w:name w:val="Heading 2"/>
    <w:basedOn w:val="Normal"/>
    <w:next w:val="Normal"/>
    <w:qFormat/>
    <w:pPr>
      <w:spacing w:before="200" w:after="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2026-02-18T20:48:22.294Z</dcterms:created>
  <dcterms:modified xsi:type="dcterms:W3CDTF">2026-02-18T20:48:22.295Z</dcterms:modified>
</cp:coreProperties>
</file>

<file path=docProps/custom.xml><?xml version="1.0" encoding="utf-8"?>
<Properties xmlns="http://schemas.openxmlformats.org/officeDocument/2006/custom-properties" xmlns:vt="http://schemas.openxmlformats.org/officeDocument/2006/docPropsVTypes"/>
</file>