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Sapphire Pipeline Workflow</w:t>
      </w:r>
    </w:p>
    <w:p>
      <w:pPr>
        <w:pStyle w:val="Heading2"/>
      </w:pPr>
      <w:r>
        <w:t xml:space="preserve">Prompt: "Does the gene require selective targeting to avoid unwanted biological consequences?"</w:t>
      </w:r>
    </w:p>
    <w:p>
      <w:pPr>
        <w:spacing w:after="300" w:line="360"/>
      </w:pPr>
      <w:r>
        <w:rPr>
          <w:rFonts w:ascii="Arial" w:cs="Arial" w:eastAsia="Arial" w:hAnsi="Arial"/>
          <w:sz w:val="24"/>
          <w:szCs w:val="24"/>
        </w:rPr>
        <w:t xml:space="preserve">This document defines the complete Sapphire pipeline — the sequential stages, tools called, external datasets used, inputs, outputs, and decision logic — required to deliver a valid, actionable answer to this prompt.</w:t>
      </w:r>
    </w:p>
    <w:p>
      <w:pPr>
        <w:pStyle w:val="Heading2"/>
      </w:pPr>
      <w:r>
        <w:t xml:space="preserve">Pipeline Overview</w:t>
      </w:r>
    </w:p>
    <w:p>
      <w:pPr>
        <w:spacing w:after="300" w:line="360"/>
      </w:pPr>
      <w:r>
        <w:rPr>
          <w:rFonts w:ascii="Arial" w:cs="Arial" w:eastAsia="Arial" w:hAnsi="Arial"/>
          <w:sz w:val="24"/>
          <w:szCs w:val="24"/>
        </w:rPr>
        <w:t xml:space="preserve">This pipeline determines whether a target gene requires selective (isoform-specific, allele-specific, cell-type-specific) targeting to avoid unwanted biological consequences. The workflow progresses through six stages: establishing the gene's isoform architecture, assessing essentiality dependencies, evaluating mutation-specific selectivity needs, mapping cellular expression patterns, designing optimal targeting strategies, and integrating risk-benefit analyses for final recommendations.</w:t>
      </w:r>
    </w:p>
    <w:p>
      <w:pPr>
        <w:spacing w:after="300" w:line="360"/>
      </w:pPr>
      <w:r>
        <w:rPr>
          <w:rFonts w:ascii="Arial" w:cs="Arial" w:eastAsia="Arial" w:hAnsi="Arial"/>
          <w:sz w:val="24"/>
          <w:szCs w:val="24"/>
        </w:rPr>
        <w:t xml:space="preserve">Each stage leverages specialized databases and bioinformatics tools to systematically reduce uncertainty and identify the most appropriate targeting approach.</w:t>
      </w:r>
    </w:p>
    <w:p>
      <w:pPr>
        <w:pStyle w:val="Heading2"/>
      </w:pPr>
      <w:r>
        <w:t xml:space="preserve">Stage 1: Gene Identity &amp; Isoform Architecture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Purpose: </w:t>
      </w:r>
      <w:r>
        <w:rPr>
          <w:rFonts w:ascii="Arial" w:cs="Arial" w:eastAsia="Arial" w:hAnsi="Arial"/>
          <w:sz w:val="24"/>
          <w:szCs w:val="24"/>
        </w:rPr>
        <w:t xml:space="preserve">Retrieve the complete isoform landscape, tissue-specific expression patterns, and functional differences between isoforms to establish baseline genetic complexity.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t xml:space="preserve">Gene symbol or ENSEMBL ID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t xml:space="preserve">Target tissue or cell type context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Ensembl/GENCODE: </w:t>
      </w:r>
      <w:r>
        <w:rPr>
          <w:rFonts w:ascii="Arial" w:cs="Arial" w:eastAsia="Arial" w:hAnsi="Arial"/>
          <w:sz w:val="24"/>
          <w:szCs w:val="24"/>
        </w:rPr>
        <w:t xml:space="preserve">Comprehensive transcript annotations and isoform definitions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APPRIS: </w:t>
      </w:r>
      <w:r>
        <w:rPr>
          <w:rFonts w:ascii="Arial" w:cs="Arial" w:eastAsia="Arial" w:hAnsi="Arial"/>
          <w:sz w:val="24"/>
          <w:szCs w:val="24"/>
        </w:rPr>
        <w:t xml:space="preserve">Isoform prioritization and functional assessment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UniProt: </w:t>
      </w:r>
      <w:r>
        <w:rPr>
          <w:rFonts w:ascii="Arial" w:cs="Arial" w:eastAsia="Arial" w:hAnsi="Arial"/>
          <w:sz w:val="24"/>
          <w:szCs w:val="24"/>
        </w:rPr>
        <w:t xml:space="preserve">Protein functional annotations and isoform differences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GTEx: </w:t>
      </w:r>
      <w:r>
        <w:rPr>
          <w:rFonts w:ascii="Arial" w:cs="Arial" w:eastAsia="Arial" w:hAnsi="Arial"/>
          <w:sz w:val="24"/>
          <w:szCs w:val="24"/>
        </w:rPr>
        <w:t xml:space="preserve">Tissue-specific expression levels across human tissues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Human Protein Atlas: </w:t>
      </w:r>
      <w:r>
        <w:rPr>
          <w:rFonts w:ascii="Arial" w:cs="Arial" w:eastAsia="Arial" w:hAnsi="Arial"/>
          <w:sz w:val="24"/>
          <w:szCs w:val="24"/>
        </w:rPr>
        <w:t xml:space="preserve">Protein expression and subcellular localization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NCBI Gene/RefSeq: </w:t>
      </w:r>
      <w:r>
        <w:rPr>
          <w:rFonts w:ascii="Arial" w:cs="Arial" w:eastAsia="Arial" w:hAnsi="Arial"/>
          <w:sz w:val="24"/>
          <w:szCs w:val="24"/>
        </w:rPr>
        <w:t xml:space="preserve">Reference gene sequences and curated annotations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t xml:space="preserve">How many isoforms does this gene have, and what are their structural/functional differences?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t xml:space="preserve">Which isoforms are expressed in the target tissue or cell type?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t xml:space="preserve">Are there known functional specializations of specific isoforms?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t xml:space="preserve">Isoform list with exon structure and functional domains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t xml:space="preserve">Tissue-specific isoform expression profiles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t xml:space="preserve">Functional annotation differences between isoforms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Format: </w:t>
      </w:r>
      <w:r>
        <w:rPr>
          <w:rFonts w:ascii="Arial" w:cs="Arial" w:eastAsia="Arial" w:hAnsi="Arial"/>
          <w:sz w:val="24"/>
          <w:szCs w:val="24"/>
        </w:rPr>
        <w:t xml:space="preserve">Structured table or JSON with isoform IDs, transcript variants, expression data, and functional descriptions.</w:t>
      </w:r>
    </w:p>
    <w:p>
      <w:pPr>
        <w:pStyle w:val="Heading2"/>
      </w:pPr>
      <w:r>
        <w:t xml:space="preserve">Stage 2: Essentiality &amp; Pathway Dependency Analysis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Purpose: </w:t>
      </w:r>
      <w:r>
        <w:rPr>
          <w:rFonts w:ascii="Arial" w:cs="Arial" w:eastAsia="Arial" w:hAnsi="Arial"/>
          <w:sz w:val="24"/>
          <w:szCs w:val="24"/>
        </w:rPr>
        <w:t xml:space="preserve">Assess gene essentiality across cell types and identify critical pathways where non-selective knockdown would cause unintended harm.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t xml:space="preserve">Gene symbol and isoform information from Stage 1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t xml:space="preserve">Cell types of interest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DepMap (Broad): </w:t>
      </w:r>
      <w:r>
        <w:rPr>
          <w:rFonts w:ascii="Arial" w:cs="Arial" w:eastAsia="Arial" w:hAnsi="Arial"/>
          <w:sz w:val="24"/>
          <w:szCs w:val="24"/>
        </w:rPr>
        <w:t xml:space="preserve">CRISPR-based essentiality scores across cell lines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KEGG: </w:t>
      </w:r>
      <w:r>
        <w:rPr>
          <w:rFonts w:ascii="Arial" w:cs="Arial" w:eastAsia="Arial" w:hAnsi="Arial"/>
          <w:sz w:val="24"/>
          <w:szCs w:val="24"/>
        </w:rPr>
        <w:t xml:space="preserve">Pathway membership and interconnections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Reactome: </w:t>
      </w:r>
      <w:r>
        <w:rPr>
          <w:rFonts w:ascii="Arial" w:cs="Arial" w:eastAsia="Arial" w:hAnsi="Arial"/>
          <w:sz w:val="24"/>
          <w:szCs w:val="24"/>
        </w:rPr>
        <w:t xml:space="preserve">Mechanistic pathway annotations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STRING: </w:t>
      </w:r>
      <w:r>
        <w:rPr>
          <w:rFonts w:ascii="Arial" w:cs="Arial" w:eastAsia="Arial" w:hAnsi="Arial"/>
          <w:sz w:val="24"/>
          <w:szCs w:val="24"/>
        </w:rPr>
        <w:t xml:space="preserve">Protein-protein interactions and functional associations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Gene Ontology: </w:t>
      </w:r>
      <w:r>
        <w:rPr>
          <w:rFonts w:ascii="Arial" w:cs="Arial" w:eastAsia="Arial" w:hAnsi="Arial"/>
          <w:sz w:val="24"/>
          <w:szCs w:val="24"/>
        </w:rPr>
        <w:t xml:space="preserve">Biological process and molecular function annotations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Quiver CRISPR EP Atlas: </w:t>
      </w:r>
      <w:r>
        <w:rPr>
          <w:rFonts w:ascii="Arial" w:cs="Arial" w:eastAsia="Arial" w:hAnsi="Arial"/>
          <w:sz w:val="24"/>
          <w:szCs w:val="24"/>
        </w:rPr>
        <w:t xml:space="preserve">Essential gene phenotypes and off-target consequences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t xml:space="preserve">Is this gene essential in any cell type or tissue?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t xml:space="preserve">Which pathways does this gene participate in, and how critical is it to each?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t xml:space="preserve">What are the known phenotypic consequences of complete loss of function?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t xml:space="preserve">Essentiality scores by cell type or tissue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t xml:space="preserve">List of critical pathways and vulnerability ranking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t xml:space="preserve">Off-target phenotype risk assessment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Format: </w:t>
      </w:r>
      <w:r>
        <w:rPr>
          <w:rFonts w:ascii="Arial" w:cs="Arial" w:eastAsia="Arial" w:hAnsi="Arial"/>
          <w:sz w:val="24"/>
          <w:szCs w:val="24"/>
        </w:rPr>
        <w:t xml:space="preserve">Table with essentiality metrics, pathway annotations, and risk flags.</w:t>
      </w:r>
    </w:p>
    <w:p>
      <w:pPr>
        <w:pStyle w:val="Heading2"/>
      </w:pPr>
      <w:r>
        <w:t xml:space="preserve">Stage 3: Allelic &amp; Mutation-Specific Selectivity Assessment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Purpose: </w:t>
      </w:r>
      <w:r>
        <w:rPr>
          <w:rFonts w:ascii="Arial" w:cs="Arial" w:eastAsia="Arial" w:hAnsi="Arial"/>
          <w:sz w:val="24"/>
          <w:szCs w:val="24"/>
        </w:rPr>
        <w:t xml:space="preserve">Determine whether the disease mechanism requires allele-selective targeting by distinguishing between gain-of-function and loss-of-function variants, and dominant versus recessive inheritance patterns.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t xml:space="preserve">Disease-associated mutations or variants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t xml:space="preserve">Disease inheritance pattern or mechanism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ClinVar: </w:t>
      </w:r>
      <w:r>
        <w:rPr>
          <w:rFonts w:ascii="Arial" w:cs="Arial" w:eastAsia="Arial" w:hAnsi="Arial"/>
          <w:sz w:val="24"/>
          <w:szCs w:val="24"/>
        </w:rPr>
        <w:t xml:space="preserve">Clinical significance and variant interpretations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OMIM: </w:t>
      </w:r>
      <w:r>
        <w:rPr>
          <w:rFonts w:ascii="Arial" w:cs="Arial" w:eastAsia="Arial" w:hAnsi="Arial"/>
          <w:sz w:val="24"/>
          <w:szCs w:val="24"/>
        </w:rPr>
        <w:t xml:space="preserve">Disease-gene relationships and inheritance modes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gnomAD: </w:t>
      </w:r>
      <w:r>
        <w:rPr>
          <w:rFonts w:ascii="Arial" w:cs="Arial" w:eastAsia="Arial" w:hAnsi="Arial"/>
          <w:sz w:val="24"/>
          <w:szCs w:val="24"/>
        </w:rPr>
        <w:t xml:space="preserve">Population allele frequencies and constraint metrics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Quiver EP Data: </w:t>
      </w:r>
      <w:r>
        <w:rPr>
          <w:rFonts w:ascii="Arial" w:cs="Arial" w:eastAsia="Arial" w:hAnsi="Arial"/>
          <w:sz w:val="24"/>
          <w:szCs w:val="24"/>
        </w:rPr>
        <w:t xml:space="preserve">GoF vs. LoF phenotype signatures and allele-specific effects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t xml:space="preserve">Are the disease-causing mutations gain-of-function or loss-of-function?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t xml:space="preserve">Is the disease dominant or recessive, and does this affect targeting strategy?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t xml:space="preserve">Are there specific alleles or mutations that must be selectively targeted?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t xml:space="preserve">GoF vs. LoF classification for each relevant variant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t xml:space="preserve">Inheritance pattern confirmation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t xml:space="preserve">Allele-selectivity requirement score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Format: </w:t>
      </w:r>
      <w:r>
        <w:rPr>
          <w:rFonts w:ascii="Arial" w:cs="Arial" w:eastAsia="Arial" w:hAnsi="Arial"/>
          <w:sz w:val="24"/>
          <w:szCs w:val="24"/>
        </w:rPr>
        <w:t xml:space="preserve">Variant classification table with mechanistic annotations and selectivity requirements.</w:t>
      </w:r>
    </w:p>
    <w:p>
      <w:pPr>
        <w:pStyle w:val="Heading2"/>
      </w:pPr>
      <w:r>
        <w:t xml:space="preserve">Stage 4: Cell-Type &amp; Regional Expression Analysis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Purpose: </w:t>
      </w:r>
      <w:r>
        <w:rPr>
          <w:rFonts w:ascii="Arial" w:cs="Arial" w:eastAsia="Arial" w:hAnsi="Arial"/>
          <w:sz w:val="24"/>
          <w:szCs w:val="24"/>
        </w:rPr>
        <w:t xml:space="preserve">Map expression across cell types and brain regions (if applicable) to identify off-target cell populations at risk of unintended consequences from non-selective targeting.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t xml:space="preserve">Gene symbol and isoform data from Stage 1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t xml:space="preserve">Target tissue or CNS region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Allen Brain Atlas: </w:t>
      </w:r>
      <w:r>
        <w:rPr>
          <w:rFonts w:ascii="Arial" w:cs="Arial" w:eastAsia="Arial" w:hAnsi="Arial"/>
          <w:sz w:val="24"/>
          <w:szCs w:val="24"/>
        </w:rPr>
        <w:t xml:space="preserve">High-resolution brain region-specific expression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Single-cell RNA-seq databases (Allen Cell Types DB): </w:t>
      </w:r>
      <w:r>
        <w:rPr>
          <w:rFonts w:ascii="Arial" w:cs="Arial" w:eastAsia="Arial" w:hAnsi="Arial"/>
          <w:sz w:val="24"/>
          <w:szCs w:val="24"/>
        </w:rPr>
        <w:t xml:space="preserve">Cell-type-specific expression at single-cell resolution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Human Protein Atlas: </w:t>
      </w:r>
      <w:r>
        <w:rPr>
          <w:rFonts w:ascii="Arial" w:cs="Arial" w:eastAsia="Arial" w:hAnsi="Arial"/>
          <w:sz w:val="24"/>
          <w:szCs w:val="24"/>
        </w:rPr>
        <w:t xml:space="preserve">Cell-type-specific protein expression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BrainSpan: </w:t>
      </w:r>
      <w:r>
        <w:rPr>
          <w:rFonts w:ascii="Arial" w:cs="Arial" w:eastAsia="Arial" w:hAnsi="Arial"/>
          <w:sz w:val="24"/>
          <w:szCs w:val="24"/>
        </w:rPr>
        <w:t xml:space="preserve">Developmental and regional brain expression dynamics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t xml:space="preserve">Which cell types express this gene in the target tissue?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t xml:space="preserve">Are there brain regions or cell types where off-target effects would be particularly harmful?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t xml:space="preserve">What is the developmental expression profile of this gene?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t xml:space="preserve">Cell-type-specific expression matrix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t xml:space="preserve">Regional brain expression map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t xml:space="preserve">High-risk off-target cell populations flagged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Format: </w:t>
      </w:r>
      <w:r>
        <w:rPr>
          <w:rFonts w:ascii="Arial" w:cs="Arial" w:eastAsia="Arial" w:hAnsi="Arial"/>
          <w:sz w:val="24"/>
          <w:szCs w:val="24"/>
        </w:rPr>
        <w:t xml:space="preserve">Expression heatmap or detailed cell-type atlas with risk annotations.</w:t>
      </w:r>
    </w:p>
    <w:p>
      <w:pPr>
        <w:pStyle w:val="Heading2"/>
      </w:pPr>
      <w:r>
        <w:t xml:space="preserve">Stage 5: Selectivity Strategy Design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Purpose: </w:t>
      </w:r>
      <w:r>
        <w:rPr>
          <w:rFonts w:ascii="Arial" w:cs="Arial" w:eastAsia="Arial" w:hAnsi="Arial"/>
          <w:sz w:val="24"/>
          <w:szCs w:val="24"/>
        </w:rPr>
        <w:t xml:space="preserve">Based on all evidence from Stages 1–4, design the optimal selective targeting approach, choosing between isoform-specific, allele-specific, or cell-type-specific strategies.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t xml:space="preserve">All outputs from Stages 1–4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t xml:space="preserve">Target disease context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Sapphire Selectivity Logic Engine: </w:t>
      </w:r>
      <w:r>
        <w:rPr>
          <w:rFonts w:ascii="Arial" w:cs="Arial" w:eastAsia="Arial" w:hAnsi="Arial"/>
          <w:sz w:val="24"/>
          <w:szCs w:val="24"/>
        </w:rPr>
        <w:t xml:space="preserve">Integrated decision framework for selectivity strategy prioritization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Ensembl transcript comparison: </w:t>
      </w:r>
      <w:r>
        <w:rPr>
          <w:rFonts w:ascii="Arial" w:cs="Arial" w:eastAsia="Arial" w:hAnsi="Arial"/>
          <w:sz w:val="24"/>
          <w:szCs w:val="24"/>
        </w:rPr>
        <w:t xml:space="preserve">Identify sequence differences for selective modulation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Quiver ASO Design Module: </w:t>
      </w:r>
      <w:r>
        <w:rPr>
          <w:rFonts w:ascii="Arial" w:cs="Arial" w:eastAsia="Arial" w:hAnsi="Arial"/>
          <w:sz w:val="24"/>
          <w:szCs w:val="24"/>
        </w:rPr>
        <w:t xml:space="preserve">Antisense oligonucleotide design for isoform/allele selectivity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t xml:space="preserve">Should targeting be isoform-specific, allele-specific, cell-type-specific, or combinations thereof?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t xml:space="preserve">What are the sequence or regulatory differences that enable selective modulation?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t xml:space="preserve">What is the technical feasibility of each strategy (ASO, siRNA, CRISPR targeting)?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t xml:space="preserve">Ranked list of selective targeting strategies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t xml:space="preserve">Design specifications for recommended approach (e.g., ASO sequences, edit targets)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t xml:space="preserve">Feasibility and implementation notes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Format: </w:t>
      </w:r>
      <w:r>
        <w:rPr>
          <w:rFonts w:ascii="Arial" w:cs="Arial" w:eastAsia="Arial" w:hAnsi="Arial"/>
          <w:sz w:val="24"/>
          <w:szCs w:val="24"/>
        </w:rPr>
        <w:t xml:space="preserve">Strategy comparison table with technical specifications and confidence scores.</w:t>
      </w:r>
    </w:p>
    <w:p>
      <w:pPr>
        <w:pStyle w:val="Heading2"/>
      </w:pPr>
      <w:r>
        <w:t xml:space="preserve">Stage 6: Risk-Benefit Integration &amp; Recommendation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Purpose: </w:t>
      </w:r>
      <w:r>
        <w:rPr>
          <w:rFonts w:ascii="Arial" w:cs="Arial" w:eastAsia="Arial" w:hAnsi="Arial"/>
          <w:sz w:val="24"/>
          <w:szCs w:val="24"/>
        </w:rPr>
        <w:t xml:space="preserve">Perform a composite risk assessment comparing selective versus non-selective approaches, integrate clinical precedent, and deliver a final evidence-based recommendation.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t xml:space="preserve">All findings from Stages 1–5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t xml:space="preserve">Clinical context and trial endpoints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Sapphire Risk Scoring Engine: </w:t>
      </w:r>
      <w:r>
        <w:rPr>
          <w:rFonts w:ascii="Arial" w:cs="Arial" w:eastAsia="Arial" w:hAnsi="Arial"/>
          <w:sz w:val="24"/>
          <w:szCs w:val="24"/>
        </w:rPr>
        <w:t xml:space="preserve">Quantitative risk assessment for on-target and off-target consequences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Published clinical precedent analysis: </w:t>
      </w:r>
      <w:r>
        <w:rPr>
          <w:rFonts w:ascii="Arial" w:cs="Arial" w:eastAsia="Arial" w:hAnsi="Arial"/>
          <w:sz w:val="24"/>
          <w:szCs w:val="24"/>
        </w:rPr>
        <w:t xml:space="preserve">Literature review for similar genes, diseases, and targeting strategies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Quiver Confidence Scoring: </w:t>
      </w:r>
      <w:r>
        <w:rPr>
          <w:rFonts w:ascii="Arial" w:cs="Arial" w:eastAsia="Arial" w:hAnsi="Arial"/>
          <w:sz w:val="24"/>
          <w:szCs w:val="24"/>
        </w:rPr>
        <w:t xml:space="preserve">Bayesian confidence in recommendation based on evidence quality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t xml:space="preserve">What is the overall risk of unintended biological consequences with selective vs. non-selective approaches?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t xml:space="preserve">Are there clinical precedents supporting selective targeting for similar genes?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t xml:space="preserve">What confidence level do we have in the final recommendation?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t xml:space="preserve">Risk-benefit scorecard (selective vs. non-selective)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t xml:space="preserve">Clinical precedent summary with relevant publications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t xml:space="preserve">Final recommendation with confidence level and critical assumptions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Format: </w:t>
      </w:r>
      <w:r>
        <w:rPr>
          <w:rFonts w:ascii="Arial" w:cs="Arial" w:eastAsia="Arial" w:hAnsi="Arial"/>
          <w:sz w:val="24"/>
          <w:szCs w:val="24"/>
        </w:rPr>
        <w:t xml:space="preserve">Executive summary with risk matrices, precedent citations, and structured recommendation statement.</w:t>
      </w:r>
    </w:p>
    <w:p>
      <w:pPr>
        <w:pStyle w:val="Heading2"/>
      </w:pPr>
      <w:r>
        <w:t xml:space="preserve">Tools &amp; Databases Summary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t xml:space="preserve">Ensembl/GENCODE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t xml:space="preserve">APPRIS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t xml:space="preserve">UniProt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t xml:space="preserve">GTEx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t xml:space="preserve">Human Protein Atlas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t xml:space="preserve">NCBI Gene/RefSeq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t xml:space="preserve">DepMap (Broad)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t xml:space="preserve">KEGG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t xml:space="preserve">Reactome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t xml:space="preserve">STRING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t xml:space="preserve">Gene Ontology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t xml:space="preserve">Quiver CRISPR EP Atlas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t xml:space="preserve">ClinVar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t xml:space="preserve">OMIM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t xml:space="preserve">gnomAD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t xml:space="preserve">Allen Brain Atlas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t xml:space="preserve">Allen Cell Types DB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t xml:space="preserve">BrainSpan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t xml:space="preserve">Sapphire Selectivity Logic Engine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t xml:space="preserve">Quiver ASO Design Module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t xml:space="preserve">Sapphire Risk Scoring Engine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t xml:space="preserve">Quiver Confidence Scoring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•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24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00" w:after="200"/>
    </w:pPr>
    <w:rPr>
      <w:rFonts w:ascii="Arial" w:cs="Arial" w:eastAsia="Arial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2026-02-18T20:49:59.481Z</dcterms:created>
  <dcterms:modified xsi:type="dcterms:W3CDTF">2026-02-18T20:49:59.481Z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