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Sapphire Pipeline 005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Workflow Prompt</w:t>
      </w:r>
    </w:p>
    <w:p>
      <w:pPr>
        <w:spacing w:after="20" w:line="360" w:lineRule="auto"/>
      </w:pPr>
      <w:r>
        <w:rPr>
          <w:rFonts w:ascii="Arial" w:hAnsi="Arial"/>
          <w:sz w:val="22"/>
        </w:rPr>
        <w:t>Based on known oligo distribution maps, will an ASO targeting this gene achieve sufficient exposure in the relevant brain regions or neuron classes?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sz w:val="22"/>
        </w:rPr>
        <w:t>Pipeline 005 guides ASO discovery by systematically addressing one of the six core questions underlying target validation and oligonucleotide design for Quiver Bioscience's therapeutic programs.</w:t>
      </w:r>
    </w:p>
    <w:p>
      <w:pPr>
        <w:spacing w:after="20" w:line="360" w:lineRule="auto"/>
      </w:pPr>
      <w:r>
        <w:rPr>
          <w:rFonts w:ascii="Arial" w:hAnsi="Arial"/>
          <w:sz w:val="22"/>
        </w:rPr>
        <w:t>This workflow integrates electrophysiological phenotyping data from Quiver's CRISPR atlas with patent landscape analysis, functional validation metrics, and regulatory precedent to accelerate target-to-lead progression.</w:t>
      </w:r>
    </w:p>
    <w:p>
      <w:pPr>
        <w:spacing w:after="20" w:line="360" w:lineRule="auto"/>
      </w:pPr>
      <w:r>
        <w:rPr>
          <w:rFonts w:ascii="Arial" w:hAnsi="Arial"/>
          <w:sz w:val="22"/>
        </w:rPr>
        <w:t>Each stage incorporates domain-specific tools, databases, and decision points to mitigate technical and commercial risk while maintaining scientific rigor.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Pipeline Overview</w:t>
      </w:r>
    </w:p>
    <w:p>
      <w:pPr>
        <w:spacing w:after="20" w:line="360" w:lineRule="auto"/>
      </w:pPr>
      <w:r>
        <w:rPr>
          <w:rFonts w:ascii="Arial" w:hAnsi="Arial"/>
          <w:sz w:val="22"/>
        </w:rPr>
        <w:t>This six-stage workflow is designed to deliver actionable recommendations for ASO selection and clinical development strategy. Each stage builds on prior outputs and generates decision gates to guide resource allocation.</w:t>
      </w:r>
    </w:p>
    <w:p>
      <w:pPr>
        <w:spacing w:after="20" w:line="360" w:lineRule="auto"/>
      </w:pPr>
      <w:r>
        <w:rPr>
          <w:rFonts w:ascii="Arial" w:hAnsi="Arial"/>
          <w:sz w:val="22"/>
        </w:rPr>
        <w:t>The pipeline leverages both curated public databases and Quiver's proprietary electrophysiological dataset to ground recommendations in functional phenotypes and mechanistic understanding.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1: Brain Region and Neuron Class Definition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brain region and neuron class definition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2: ASO Biodistribution Simulation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aso biodistribution simulation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3: Exposure Adequacy Assessment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exposure adequacy assessment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4: Regional Selectivity Optimization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regional selectivity optimization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5: Delivery Route and Chemistry Optimization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delivery route and chemistry optimization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6: CNS Penetrance Strategy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cns penetrance strategy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Tools &amp; Databases Summary</w:t>
      </w:r>
    </w:p>
    <w:p>
      <w:pPr>
        <w:pStyle w:val="ListBullet"/>
        <w:spacing w:after="10" w:line="360" w:lineRule="auto"/>
      </w:pPr>
      <w:r>
        <w:t>Quiver Bioscience EP CRISPR atlas (~18,000 gene perturbations, ~500 features per neuron)</w:t>
      </w:r>
    </w:p>
    <w:p>
      <w:pPr>
        <w:pStyle w:val="ListBullet"/>
        <w:spacing w:after="10" w:line="360" w:lineRule="auto"/>
      </w:pPr>
      <w:r>
        <w:t>ClinVar variant database (disease-causing variant catalogs)</w:t>
      </w:r>
    </w:p>
    <w:p>
      <w:pPr>
        <w:pStyle w:val="ListBullet"/>
        <w:spacing w:after="10" w:line="360" w:lineRule="auto"/>
      </w:pPr>
      <w:r>
        <w:t>OMIM (Online Mendelian Inheritance in Man) for gene-disease associations</w:t>
      </w:r>
    </w:p>
    <w:p>
      <w:pPr>
        <w:pStyle w:val="ListBullet"/>
        <w:spacing w:after="10" w:line="360" w:lineRule="auto"/>
      </w:pPr>
      <w:r>
        <w:t>Google Patents and Espacenet for intellectual property landscape</w:t>
      </w:r>
    </w:p>
    <w:p>
      <w:pPr>
        <w:pStyle w:val="ListBullet"/>
        <w:spacing w:after="10" w:line="360" w:lineRule="auto"/>
      </w:pPr>
      <w:r>
        <w:t>UniProt for protein structure and functional domain annotations</w:t>
      </w:r>
    </w:p>
    <w:p>
      <w:pPr>
        <w:pStyle w:val="ListBullet"/>
        <w:spacing w:after="10" w:line="360" w:lineRule="auto"/>
      </w:pPr>
      <w:r>
        <w:t>KEGG pathway database for biological context</w:t>
      </w:r>
    </w:p>
    <w:p>
      <w:pPr>
        <w:pStyle w:val="ListBullet"/>
        <w:spacing w:after="10" w:line="360" w:lineRule="auto"/>
      </w:pPr>
      <w:r>
        <w:t>STRING database for protein-protein interactions</w:t>
      </w:r>
    </w:p>
    <w:p>
      <w:pPr>
        <w:pStyle w:val="ListBullet"/>
        <w:spacing w:after="10" w:line="360" w:lineRule="auto"/>
      </w:pPr>
      <w:r>
        <w:t>GTEx for tissue-specific gene expression patterns</w:t>
      </w:r>
    </w:p>
    <w:p>
      <w:pPr>
        <w:pStyle w:val="ListBullet"/>
        <w:spacing w:after="10" w:line="360" w:lineRule="auto"/>
      </w:pPr>
      <w:r>
        <w:t>Custom bioinformatic pipelines for dose-response curve fitting</w:t>
      </w:r>
    </w:p>
    <w:p>
      <w:pPr>
        <w:pStyle w:val="ListBullet"/>
        <w:spacing w:after="10" w:line="360" w:lineRule="auto"/>
      </w:pPr>
      <w:r>
        <w:t>Statistical frameworks for ASO selectivity and safety modeling</w:t>
      </w:r>
    </w:p>
    <w:p>
      <w:pPr>
        <w:pStyle w:val="ListBullet"/>
        <w:spacing w:after="10" w:line="360" w:lineRule="auto"/>
      </w:pPr>
      <w:r>
        <w:t>Brain region/cell type taxonomies from single-cell RNA-seq studies</w:t>
      </w:r>
    </w:p>
    <w:p>
      <w:pPr>
        <w:pStyle w:val="ListBullet"/>
        <w:spacing w:after="10" w:line="360" w:lineRule="auto"/>
      </w:pPr>
      <w:r>
        <w:t>Published ASO clinical trial databases and regulatory guidance</w:t>
      </w:r>
    </w:p>
    <w:p>
      <w:pPr>
        <w:pStyle w:val="ListBullet"/>
        <w:spacing w:after="10" w:line="360" w:lineRule="auto"/>
      </w:pPr>
      <w:r>
        <w:t>Compound perturbation library (~3,500 compounds, Quiver proprietary)</w:t>
      </w:r>
    </w:p>
    <w:p>
      <w:pPr>
        <w:pStyle w:val="ListBullet"/>
        <w:spacing w:after="10" w:line="360" w:lineRule="auto"/>
      </w:pPr>
      <w:r>
        <w:t>Neuronal phenotype standardization frameworks</w:t>
      </w:r>
    </w:p>
    <w:p>
      <w:pPr>
        <w:pStyle w:val="ListBullet"/>
        <w:spacing w:after="10" w:line="360" w:lineRule="auto"/>
      </w:pPr>
      <w:r>
        <w:t>Patent avoidance design software and sequence screening tools</w:t>
      </w:r>
    </w:p>
    <w:sectPr w:rsidR="00FC693F" w:rsidRPr="0006063C" w:rsidSect="00034616">
      <w:pgSz w:w="12240" w:h="15840"/>
      <w:pgMar w:top="816" w:right="816" w:bottom="816" w:left="8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