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Prompt: "Based on known oligo distribution maps, will an ASO targeting this gene achieve sufficient exposure in the relevant brain regions or neuron classes?"</w:t>
      </w:r>
    </w:p>
    <w:p>
      <w:pPr>
        <w:spacing w:after="3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300" w:line="360"/>
      </w:pPr>
      <w:r>
        <w:t xml:space="preserve">This pipeline addresses a critical early-stage question in ASO therapeutic development: whether a candidate gene, when targeted with an intrathecally (IT) delivered antisense oligonucleotide, will reach sufficient concentrations in the brain regions and neuron classes where therapeutic action is required. The assessment requires mapping gene expression anatomy, integrating known biodistribution data from comparable ASO compounds, modeling chemistry-dependent distribution, evaluating neuron-class accessibility, and comparing predicted exposure against efficacy thresholds derived from prior analysis (Pipeline_002).</w:t>
      </w:r>
    </w:p>
    <w:p>
      <w:pPr>
        <w:spacing w:after="300" w:line="360"/>
      </w:pPr>
      <w:r>
        <w:t xml:space="preserve">The pipeline culminates in a risk assessment and actionable recommendations for delivery optimization, alternative strategies, or decisions to deprioritize if exposure is insufficient.</w:t>
      </w:r>
    </w:p>
    <w:p>
      <w:pPr>
        <w:pStyle w:val="Heading2"/>
      </w:pPr>
      <w:r>
        <w:t xml:space="preserve">Stage 1: Target Gene Expression Mapping</w:t>
      </w:r>
    </w:p>
    <w:p>
      <w:pPr>
        <w:spacing w:after="200" w:line="360"/>
      </w:pPr>
      <w:r>
        <w:rPr>
          <w:b/>
          <w:bCs/>
        </w:rPr>
        <w:t xml:space="preserve">Purpose: </w:t>
      </w:r>
      <w:r>
        <w:t xml:space="preserve">Map gene expression across brain regions and neuron subtypes to identify where therapeutic knockdown is needed.</w:t>
      </w:r>
    </w:p>
    <w:p>
      <w:pPr>
        <w:spacing w:after="100" w:line="360"/>
      </w:pPr>
      <w:r>
        <w:rPr>
          <w:b/>
          <w:bCs/>
        </w:rPr>
        <w:t xml:space="preserve">Inputs:</w:t>
      </w:r>
    </w:p>
    <w:p>
      <w:pPr>
        <w:pStyle w:val="ListParagraph"/>
        <w:numPr>
          <w:ilvl w:val="0"/>
          <w:numId w:val="2"/>
        </w:numPr>
        <w:spacing w:after="100" w:line="360"/>
      </w:pPr>
      <w:r>
        <w:t xml:space="preserve">Target gene name/symbol and NCBI accession</w:t>
      </w:r>
    </w:p>
    <w:p>
      <w:pPr>
        <w:pStyle w:val="ListParagraph"/>
        <w:numPr>
          <w:ilvl w:val="0"/>
          <w:numId w:val="2"/>
        </w:numPr>
        <w:spacing w:after="100" w:line="360"/>
      </w:pPr>
      <w:r>
        <w:t xml:space="preserve">Therapeutic indication and affected anatomical structures (e.g., motor cortex, cerebellum, hippocampus)</w:t>
      </w:r>
    </w:p>
    <w:p>
      <w:pPr>
        <w:pStyle w:val="ListParagraph"/>
        <w:numPr>
          <w:ilvl w:val="0"/>
          <w:numId w:val="2"/>
        </w:numPr>
        <w:spacing w:after="100" w:line="360"/>
      </w:pPr>
      <w:r>
        <w:t xml:space="preserve">Target neuron classes (if known, e.g., motor neurons, pyramidal neurons, interneurons)</w:t>
      </w:r>
    </w:p>
    <w:p>
      <w:pPr>
        <w:spacing w:after="100" w:line="360"/>
      </w:pPr>
      <w:r>
        <w:rPr>
          <w:b/>
          <w:bCs/>
        </w:rPr>
        <w:t xml:space="preserve">Tools &amp; Databases Called:</w:t>
      </w:r>
    </w:p>
    <w:p>
      <w:pPr>
        <w:pStyle w:val="ListParagraph"/>
        <w:numPr>
          <w:ilvl w:val="0"/>
          <w:numId w:val="2"/>
        </w:numPr>
        <w:spacing w:after="100" w:line="360"/>
      </w:pPr>
      <w:r>
        <w:rPr>
          <w:b/>
          <w:bCs/>
        </w:rPr>
        <w:t xml:space="preserve">Allen Brain Atlas: </w:t>
      </w:r>
      <w:r>
        <w:t xml:space="preserve">In situ hybridization and gene expression data across mouse and human brain regions</w:t>
      </w:r>
    </w:p>
    <w:p>
      <w:pPr>
        <w:pStyle w:val="ListParagraph"/>
        <w:numPr>
          <w:ilvl w:val="0"/>
          <w:numId w:val="2"/>
        </w:numPr>
        <w:spacing w:after="100" w:line="360"/>
      </w:pPr>
      <w:r>
        <w:rPr>
          <w:b/>
          <w:bCs/>
        </w:rPr>
        <w:t xml:space="preserve">Allen Cell Types Database: </w:t>
      </w:r>
      <w:r>
        <w:t xml:space="preserve">Neuron morphology, electrophysiology, and transgenic lines for targeted analysis</w:t>
      </w:r>
    </w:p>
    <w:p>
      <w:pPr>
        <w:pStyle w:val="ListParagraph"/>
        <w:numPr>
          <w:ilvl w:val="0"/>
          <w:numId w:val="2"/>
        </w:numPr>
        <w:spacing w:after="100" w:line="360"/>
      </w:pPr>
      <w:r>
        <w:rPr>
          <w:b/>
          <w:bCs/>
        </w:rPr>
        <w:t xml:space="preserve">GTEx: </w:t>
      </w:r>
      <w:r>
        <w:t xml:space="preserve">Human tissue expression quantification including brain tissues</w:t>
      </w:r>
    </w:p>
    <w:p>
      <w:pPr>
        <w:pStyle w:val="ListParagraph"/>
        <w:numPr>
          <w:ilvl w:val="0"/>
          <w:numId w:val="2"/>
        </w:numPr>
        <w:spacing w:after="100" w:line="360"/>
      </w:pPr>
      <w:r>
        <w:rPr>
          <w:b/>
          <w:bCs/>
        </w:rPr>
        <w:t xml:space="preserve">Human Protein Atlas: </w:t>
      </w:r>
      <w:r>
        <w:t xml:space="preserve">Immunohistochemistry and protein localization in human brain</w:t>
      </w:r>
    </w:p>
    <w:p>
      <w:pPr>
        <w:pStyle w:val="ListParagraph"/>
        <w:numPr>
          <w:ilvl w:val="0"/>
          <w:numId w:val="2"/>
        </w:numPr>
        <w:spacing w:after="100" w:line="360"/>
      </w:pPr>
      <w:r>
        <w:rPr>
          <w:b/>
          <w:bCs/>
        </w:rPr>
        <w:t xml:space="preserve">BrainSpan: </w:t>
      </w:r>
      <w:r>
        <w:t xml:space="preserve">Developmental and temporal expression patterns in human brain</w:t>
      </w:r>
    </w:p>
    <w:p>
      <w:pPr>
        <w:pStyle w:val="ListParagraph"/>
        <w:numPr>
          <w:ilvl w:val="0"/>
          <w:numId w:val="2"/>
        </w:numPr>
        <w:spacing w:after="100" w:line="360"/>
      </w:pPr>
      <w:r>
        <w:rPr>
          <w:b/>
          <w:bCs/>
        </w:rPr>
        <w:t xml:space="preserve">Single-cell RNA-seq atlases: </w:t>
      </w:r>
      <w:r>
        <w:t xml:space="preserve">Cell-type specific expression (Tabula Muris, Human Cell Atlas, etc.)</w:t>
      </w:r>
    </w:p>
    <w:p>
      <w:pPr>
        <w:spacing w:after="100" w:line="360"/>
      </w:pPr>
      <w:r>
        <w:rPr>
          <w:b/>
          <w:bCs/>
        </w:rPr>
        <w:t xml:space="preserve">Exemplary Sub-Prompts:</w:t>
      </w:r>
    </w:p>
    <w:p>
      <w:pPr>
        <w:pStyle w:val="ListParagraph"/>
        <w:numPr>
          <w:ilvl w:val="0"/>
          <w:numId w:val="2"/>
        </w:numPr>
        <w:spacing w:after="100" w:line="360"/>
      </w:pPr>
      <w:r>
        <w:t xml:space="preserve">What is the regional distribution of [gene] expression across mouse brain and human brain according to Allen Brain Atlas?</w:t>
      </w:r>
    </w:p>
    <w:p>
      <w:pPr>
        <w:pStyle w:val="ListParagraph"/>
        <w:numPr>
          <w:ilvl w:val="0"/>
          <w:numId w:val="2"/>
        </w:numPr>
        <w:spacing w:after="100" w:line="360"/>
      </w:pPr>
      <w:r>
        <w:t xml:space="preserve">Which neuron types (by Allen taxonomy) express [gene] most highly?</w:t>
      </w:r>
    </w:p>
    <w:p>
      <w:pPr>
        <w:pStyle w:val="ListParagraph"/>
        <w:numPr>
          <w:ilvl w:val="0"/>
          <w:numId w:val="2"/>
        </w:numPr>
        <w:spacing w:after="100" w:line="360"/>
      </w:pPr>
      <w:r>
        <w:t xml:space="preserve">Does [gene] expression correlate with disease pathology in [disease indication]?</w:t>
      </w:r>
    </w:p>
    <w:p>
      <w:pPr>
        <w:spacing w:after="100" w:line="360"/>
      </w:pPr>
      <w:r>
        <w:rPr>
          <w:b/>
          <w:bCs/>
        </w:rPr>
        <w:t xml:space="preserve">Expected Outputs:</w:t>
      </w:r>
    </w:p>
    <w:p>
      <w:pPr>
        <w:pStyle w:val="ListParagraph"/>
        <w:numPr>
          <w:ilvl w:val="0"/>
          <w:numId w:val="2"/>
        </w:numPr>
        <w:spacing w:after="100" w:line="360"/>
      </w:pPr>
      <w:r>
        <w:t xml:space="preserve">Regional expression heatmap (gene expression level by brain region)</w:t>
      </w:r>
    </w:p>
    <w:p>
      <w:pPr>
        <w:pStyle w:val="ListParagraph"/>
        <w:numPr>
          <w:ilvl w:val="0"/>
          <w:numId w:val="2"/>
        </w:numPr>
        <w:spacing w:after="100" w:line="360"/>
      </w:pPr>
      <w:r>
        <w:t xml:space="preserve">Neuron-type expression profile (cell types most strongly affected by knockdown)</w:t>
      </w:r>
    </w:p>
    <w:p>
      <w:pPr>
        <w:pStyle w:val="ListParagraph"/>
        <w:numPr>
          <w:ilvl w:val="0"/>
          <w:numId w:val="2"/>
        </w:numPr>
        <w:spacing w:after="100" w:line="360"/>
      </w:pPr>
      <w:r>
        <w:t xml:space="preserve">Prioritized target regions and neuron classes for ASO exposure assessment</w:t>
      </w:r>
    </w:p>
    <w:p>
      <w:pPr>
        <w:spacing w:after="200" w:line="360"/>
      </w:pPr>
      <w:r>
        <w:rPr>
          <w:b/>
          <w:bCs/>
        </w:rPr>
        <w:t xml:space="preserve">Format: </w:t>
      </w:r>
      <w:r>
        <w:t xml:space="preserve">Tabular summary of expression levels by region/cell-type, with accompanying visualizations (heatmaps, UMAP plots from single-cell data).</w:t>
      </w:r>
    </w:p>
    <w:p>
      <w:pPr>
        <w:pStyle w:val="Heading2"/>
      </w:pPr>
      <w:r>
        <w:t xml:space="preserve">Stage 2: ASO Distribution &amp; Pharmacokinetics Literature Review</w:t>
      </w:r>
    </w:p>
    <w:p>
      <w:pPr>
        <w:spacing w:after="200" w:line="360"/>
      </w:pPr>
      <w:r>
        <w:rPr>
          <w:b/>
          <w:bCs/>
        </w:rPr>
        <w:t xml:space="preserve">Purpose: </w:t>
      </w:r>
      <w:r>
        <w:t xml:space="preserve">Compile known ASO biodistribution data from published IT-delivered ASO studies (nusinersen, tofersen, etc.).</w:t>
      </w:r>
    </w:p>
    <w:p>
      <w:pPr>
        <w:spacing w:after="100" w:line="360"/>
      </w:pPr>
      <w:r>
        <w:rPr>
          <w:b/>
          <w:bCs/>
        </w:rPr>
        <w:t xml:space="preserve">Inputs:</w:t>
      </w:r>
    </w:p>
    <w:p>
      <w:pPr>
        <w:pStyle w:val="ListParagraph"/>
        <w:numPr>
          <w:ilvl w:val="0"/>
          <w:numId w:val="2"/>
        </w:numPr>
        <w:spacing w:after="100" w:line="360"/>
      </w:pPr>
      <w:r>
        <w:t xml:space="preserve">Target gene/indication (to identify comparable published ASO studies)</w:t>
      </w:r>
    </w:p>
    <w:p>
      <w:pPr>
        <w:pStyle w:val="ListParagraph"/>
        <w:numPr>
          <w:ilvl w:val="0"/>
          <w:numId w:val="2"/>
        </w:numPr>
        <w:spacing w:after="100" w:line="360"/>
      </w:pPr>
      <w:r>
        <w:t xml:space="preserve">Known chemical structure of candidate ASO (if available)</w:t>
      </w:r>
    </w:p>
    <w:p>
      <w:pPr>
        <w:spacing w:after="100" w:line="360"/>
      </w:pPr>
      <w:r>
        <w:rPr>
          <w:b/>
          <w:bCs/>
        </w:rPr>
        <w:t xml:space="preserve">Tools &amp; Databases Called:</w:t>
      </w:r>
    </w:p>
    <w:p>
      <w:pPr>
        <w:pStyle w:val="ListParagraph"/>
        <w:numPr>
          <w:ilvl w:val="0"/>
          <w:numId w:val="2"/>
        </w:numPr>
        <w:spacing w:after="100" w:line="360"/>
      </w:pPr>
      <w:r>
        <w:rPr>
          <w:b/>
          <w:bCs/>
        </w:rPr>
        <w:t xml:space="preserve">PubMed: </w:t>
      </w:r>
      <w:r>
        <w:t xml:space="preserve">Literature search for published ASO biodistribution, PK/PD, and animal/human studies</w:t>
      </w:r>
    </w:p>
    <w:p>
      <w:pPr>
        <w:pStyle w:val="ListParagraph"/>
        <w:numPr>
          <w:ilvl w:val="0"/>
          <w:numId w:val="2"/>
        </w:numPr>
        <w:spacing w:after="100" w:line="360"/>
      </w:pPr>
      <w:r>
        <w:rPr>
          <w:b/>
          <w:bCs/>
        </w:rPr>
        <w:t xml:space="preserve">DailyMed/FDA Drug Labels: </w:t>
      </w:r>
      <w:r>
        <w:t xml:space="preserve">Approved ASO drugs (nusinersen, tofersen) pharmacokinetics and biodistribution summaries</w:t>
      </w:r>
    </w:p>
    <w:p>
      <w:pPr>
        <w:pStyle w:val="ListParagraph"/>
        <w:numPr>
          <w:ilvl w:val="0"/>
          <w:numId w:val="2"/>
        </w:numPr>
        <w:spacing w:after="100" w:line="360"/>
      </w:pPr>
      <w:r>
        <w:rPr>
          <w:b/>
          <w:bCs/>
        </w:rPr>
        <w:t xml:space="preserve">ClinicalTrials.gov: </w:t>
      </w:r>
      <w:r>
        <w:t xml:space="preserve">Clinical trial protocols and biodistribution assessments (CSF concentrations, regional brain uptake)</w:t>
      </w:r>
    </w:p>
    <w:p>
      <w:pPr>
        <w:pStyle w:val="ListParagraph"/>
        <w:numPr>
          <w:ilvl w:val="0"/>
          <w:numId w:val="2"/>
        </w:numPr>
        <w:spacing w:after="100" w:line="360"/>
      </w:pPr>
      <w:r>
        <w:rPr>
          <w:b/>
          <w:bCs/>
        </w:rPr>
        <w:t xml:space="preserve">Published PK/PD Models: </w:t>
      </w:r>
      <w:r>
        <w:t xml:space="preserve">Mechanistic models of ASO cerebrospinal fluid (CSF) transport and brain uptake</w:t>
      </w:r>
    </w:p>
    <w:p>
      <w:pPr>
        <w:spacing w:after="100" w:line="360"/>
      </w:pPr>
      <w:r>
        <w:rPr>
          <w:b/>
          <w:bCs/>
        </w:rPr>
        <w:t xml:space="preserve">Exemplary Sub-Prompts:</w:t>
      </w:r>
    </w:p>
    <w:p>
      <w:pPr>
        <w:pStyle w:val="ListParagraph"/>
        <w:numPr>
          <w:ilvl w:val="0"/>
          <w:numId w:val="2"/>
        </w:numPr>
        <w:spacing w:after="100" w:line="360"/>
      </w:pPr>
      <w:r>
        <w:t xml:space="preserve">What is the peak CSF concentration and time-to-peak for nusinersen and tofersen following IT dosing?</w:t>
      </w:r>
    </w:p>
    <w:p>
      <w:pPr>
        <w:pStyle w:val="ListParagraph"/>
        <w:numPr>
          <w:ilvl w:val="0"/>
          <w:numId w:val="2"/>
        </w:numPr>
        <w:spacing w:after="100" w:line="360"/>
      </w:pPr>
      <w:r>
        <w:t xml:space="preserve">How does ASO regional brain distribution compare between motor cortex, cerebellum, and hippocampus in published studies?</w:t>
      </w:r>
    </w:p>
    <w:p>
      <w:pPr>
        <w:pStyle w:val="ListParagraph"/>
        <w:numPr>
          <w:ilvl w:val="0"/>
          <w:numId w:val="2"/>
        </w:numPr>
        <w:spacing w:after="100" w:line="360"/>
      </w:pPr>
      <w:r>
        <w:t xml:space="preserve">What is the evidence for dose-dependent regional brain exposure from human clinical data?</w:t>
      </w:r>
    </w:p>
    <w:p>
      <w:pPr>
        <w:spacing w:after="100" w:line="360"/>
      </w:pPr>
      <w:r>
        <w:rPr>
          <w:b/>
          <w:bCs/>
        </w:rPr>
        <w:t xml:space="preserve">Expected Outputs:</w:t>
      </w:r>
    </w:p>
    <w:p>
      <w:pPr>
        <w:pStyle w:val="ListParagraph"/>
        <w:numPr>
          <w:ilvl w:val="0"/>
          <w:numId w:val="2"/>
        </w:numPr>
        <w:spacing w:after="100" w:line="360"/>
      </w:pPr>
      <w:r>
        <w:t xml:space="preserve">Literature summary table: ASO name, chemical class, dose, route, peak CSF concentration, regional brain levels, efficacy outcome</w:t>
      </w:r>
    </w:p>
    <w:p>
      <w:pPr>
        <w:pStyle w:val="ListParagraph"/>
        <w:numPr>
          <w:ilvl w:val="0"/>
          <w:numId w:val="2"/>
        </w:numPr>
        <w:spacing w:after="100" w:line="360"/>
      </w:pPr>
      <w:r>
        <w:t xml:space="preserve">Comparable ASO compounds ranked by structural/chemical similarity to candidate</w:t>
      </w:r>
    </w:p>
    <w:p>
      <w:pPr>
        <w:pStyle w:val="ListParagraph"/>
        <w:numPr>
          <w:ilvl w:val="0"/>
          <w:numId w:val="2"/>
        </w:numPr>
        <w:spacing w:after="100" w:line="360"/>
      </w:pPr>
      <w:r>
        <w:t xml:space="preserve">Known biodistribution patterns by brain region for IT-delivered ASOs</w:t>
      </w:r>
    </w:p>
    <w:p>
      <w:pPr>
        <w:spacing w:after="200" w:line="360"/>
      </w:pPr>
      <w:r>
        <w:rPr>
          <w:b/>
          <w:bCs/>
        </w:rPr>
        <w:t xml:space="preserve">Format: </w:t>
      </w:r>
      <w:r>
        <w:t xml:space="preserve">Annotated bibliography with extraction table showing biodistribution data, dose-exposure relationships, and regional concentration ratios.</w:t>
      </w:r>
    </w:p>
    <w:p>
      <w:pPr>
        <w:pStyle w:val="Heading2"/>
      </w:pPr>
      <w:r>
        <w:t xml:space="preserve">Stage 3: Chemistry-Dependent Distribution Modeling</w:t>
      </w:r>
    </w:p>
    <w:p>
      <w:pPr>
        <w:spacing w:after="200" w:line="360"/>
      </w:pPr>
      <w:r>
        <w:rPr>
          <w:b/>
          <w:bCs/>
        </w:rPr>
        <w:t xml:space="preserve">Purpose: </w:t>
      </w:r>
      <w:r>
        <w:t xml:space="preserve">Predict ASO distribution based on chemical modification pattern (2'-MOE gapmer, cEt, LNA), formulation, and delivery route.</w:t>
      </w:r>
    </w:p>
    <w:p>
      <w:pPr>
        <w:spacing w:after="100" w:line="360"/>
      </w:pPr>
      <w:r>
        <w:rPr>
          <w:b/>
          <w:bCs/>
        </w:rPr>
        <w:t xml:space="preserve">Inputs:</w:t>
      </w:r>
    </w:p>
    <w:p>
      <w:pPr>
        <w:pStyle w:val="ListParagraph"/>
        <w:numPr>
          <w:ilvl w:val="0"/>
          <w:numId w:val="2"/>
        </w:numPr>
        <w:spacing w:after="100" w:line="360"/>
      </w:pPr>
      <w:r>
        <w:t xml:space="preserve">Candidate ASO chemical structure (sequence, modifications, backbone, conjugates)</w:t>
      </w:r>
    </w:p>
    <w:p>
      <w:pPr>
        <w:pStyle w:val="ListParagraph"/>
        <w:numPr>
          <w:ilvl w:val="0"/>
          <w:numId w:val="2"/>
        </w:numPr>
        <w:spacing w:after="100" w:line="360"/>
      </w:pPr>
      <w:r>
        <w:t xml:space="preserve">Formulation details (vehicle, pH, osmolarity, surfactants)</w:t>
      </w:r>
    </w:p>
    <w:p>
      <w:pPr>
        <w:pStyle w:val="ListParagraph"/>
        <w:numPr>
          <w:ilvl w:val="0"/>
          <w:numId w:val="2"/>
        </w:numPr>
        <w:spacing w:after="100" w:line="360"/>
      </w:pPr>
      <w:r>
        <w:t xml:space="preserve">Planned delivery route (IT lumbar, IT intracerebroventricular, systemic)</w:t>
      </w:r>
    </w:p>
    <w:p>
      <w:pPr>
        <w:pStyle w:val="ListParagraph"/>
        <w:numPr>
          <w:ilvl w:val="0"/>
          <w:numId w:val="2"/>
        </w:numPr>
        <w:spacing w:after="100" w:line="360"/>
      </w:pPr>
      <w:r>
        <w:t xml:space="preserve">Reference biodistribution data from Stage 2</w:t>
      </w:r>
    </w:p>
    <w:p>
      <w:pPr>
        <w:spacing w:after="100" w:line="360"/>
      </w:pPr>
      <w:r>
        <w:rPr>
          <w:b/>
          <w:bCs/>
        </w:rPr>
        <w:t xml:space="preserve">Tools &amp; Databases Called:</w:t>
      </w:r>
    </w:p>
    <w:p>
      <w:pPr>
        <w:pStyle w:val="ListParagraph"/>
        <w:numPr>
          <w:ilvl w:val="0"/>
          <w:numId w:val="2"/>
        </w:numPr>
        <w:spacing w:after="100" w:line="360"/>
      </w:pPr>
      <w:r>
        <w:rPr>
          <w:b/>
          <w:bCs/>
        </w:rPr>
        <w:t xml:space="preserve">Sapphire PK/Distribution Model (Internal): </w:t>
      </w:r>
      <w:r>
        <w:t xml:space="preserve">Proprietary quantitative model linking ASO chemistry to regional brain exposure</w:t>
      </w:r>
    </w:p>
    <w:p>
      <w:pPr>
        <w:pStyle w:val="ListParagraph"/>
        <w:numPr>
          <w:ilvl w:val="0"/>
          <w:numId w:val="2"/>
        </w:numPr>
        <w:spacing w:after="100" w:line="360"/>
      </w:pPr>
      <w:r>
        <w:rPr>
          <w:b/>
          <w:bCs/>
        </w:rPr>
        <w:t xml:space="preserve">Published Chemistry-Distribution Correlations: </w:t>
      </w:r>
      <w:r>
        <w:t xml:space="preserve">Literature on how 2'-MOE, cEt, LNA, and other modifications affect CNS penetration</w:t>
      </w:r>
    </w:p>
    <w:p>
      <w:pPr>
        <w:pStyle w:val="ListParagraph"/>
        <w:numPr>
          <w:ilvl w:val="0"/>
          <w:numId w:val="2"/>
        </w:numPr>
        <w:spacing w:after="100" w:line="360"/>
      </w:pPr>
      <w:r>
        <w:rPr>
          <w:b/>
          <w:bCs/>
        </w:rPr>
        <w:t xml:space="preserve">Quiver ASO Chemistry Atlas: </w:t>
      </w:r>
      <w:r>
        <w:t xml:space="preserve">Database of ASO chemical properties (lipophilicity, MW, charge, protein binding) vs. biodistribution outcomes</w:t>
      </w:r>
    </w:p>
    <w:p>
      <w:pPr>
        <w:spacing w:after="100" w:line="360"/>
      </w:pPr>
      <w:r>
        <w:rPr>
          <w:b/>
          <w:bCs/>
        </w:rPr>
        <w:t xml:space="preserve">Exemplary Sub-Prompts:</w:t>
      </w:r>
    </w:p>
    <w:p>
      <w:pPr>
        <w:pStyle w:val="ListParagraph"/>
        <w:numPr>
          <w:ilvl w:val="0"/>
          <w:numId w:val="2"/>
        </w:numPr>
        <w:spacing w:after="100" w:line="360"/>
      </w:pPr>
      <w:r>
        <w:t xml:space="preserve">How does the 2'-MOE gapmer chemistry compare to cEt analogs in terms of brain penetration?</w:t>
      </w:r>
    </w:p>
    <w:p>
      <w:pPr>
        <w:pStyle w:val="ListParagraph"/>
        <w:numPr>
          <w:ilvl w:val="0"/>
          <w:numId w:val="2"/>
        </w:numPr>
        <w:spacing w:after="100" w:line="360"/>
      </w:pPr>
      <w:r>
        <w:t xml:space="preserve">What is the predicted CSF-to-plasma concentration ratio for a 20-mer phosphorothioate oligonucleotide with [modification pattern]?</w:t>
      </w:r>
    </w:p>
    <w:p>
      <w:pPr>
        <w:pStyle w:val="ListParagraph"/>
        <w:numPr>
          <w:ilvl w:val="0"/>
          <w:numId w:val="2"/>
        </w:numPr>
        <w:spacing w:after="100" w:line="360"/>
      </w:pPr>
      <w:r>
        <w:t xml:space="preserve">Does the presence of [formulation component] enhance or impede intrathecal distribution to dorsal root ganglia and motor cortex?</w:t>
      </w:r>
    </w:p>
    <w:p>
      <w:pPr>
        <w:spacing w:after="100" w:line="360"/>
      </w:pPr>
      <w:r>
        <w:rPr>
          <w:b/>
          <w:bCs/>
        </w:rPr>
        <w:t xml:space="preserve">Expected Outputs:</w:t>
      </w:r>
    </w:p>
    <w:p>
      <w:pPr>
        <w:pStyle w:val="ListParagraph"/>
        <w:numPr>
          <w:ilvl w:val="0"/>
          <w:numId w:val="2"/>
        </w:numPr>
        <w:spacing w:after="100" w:line="360"/>
      </w:pPr>
      <w:r>
        <w:t xml:space="preserve">Predicted peak CSF concentration and time-course post-dosing</w:t>
      </w:r>
    </w:p>
    <w:p>
      <w:pPr>
        <w:pStyle w:val="ListParagraph"/>
        <w:numPr>
          <w:ilvl w:val="0"/>
          <w:numId w:val="2"/>
        </w:numPr>
        <w:spacing w:after="100" w:line="360"/>
      </w:pPr>
      <w:r>
        <w:t xml:space="preserve">Estimated regional brain concentrations (as % of CSF peak or ng/g tissue)</w:t>
      </w:r>
    </w:p>
    <w:p>
      <w:pPr>
        <w:pStyle w:val="ListParagraph"/>
        <w:numPr>
          <w:ilvl w:val="0"/>
          <w:numId w:val="2"/>
        </w:numPr>
        <w:spacing w:after="100" w:line="360"/>
      </w:pPr>
      <w:r>
        <w:t xml:space="preserve">Confidence intervals and sensitivity analysis (e.g., impact of formulation changes)</w:t>
      </w:r>
    </w:p>
    <w:p>
      <w:pPr>
        <w:spacing w:after="200" w:line="360"/>
      </w:pPr>
      <w:r>
        <w:rPr>
          <w:b/>
          <w:bCs/>
        </w:rPr>
        <w:t xml:space="preserve">Format: </w:t>
      </w:r>
      <w:r>
        <w:t xml:space="preserve">Quantitative prediction tables with regional exposure estimates and graphical pharmacokinetic profiles.</w:t>
      </w:r>
    </w:p>
    <w:p>
      <w:pPr>
        <w:pStyle w:val="Heading2"/>
      </w:pPr>
      <w:r>
        <w:t xml:space="preserve">Stage 4: Neuron Class Accessibility Assessment</w:t>
      </w:r>
    </w:p>
    <w:p>
      <w:pPr>
        <w:spacing w:after="200" w:line="360"/>
      </w:pPr>
      <w:r>
        <w:rPr>
          <w:b/>
          <w:bCs/>
        </w:rPr>
        <w:t xml:space="preserve">Purpose: </w:t>
      </w:r>
      <w:r>
        <w:t xml:space="preserve">Assess whether target neuron classes (cortical, hippocampal, motor neuron, Purkinje, etc.) are accessible to IT-delivered ASOs based on anatomical and cellular uptake data.</w:t>
      </w:r>
    </w:p>
    <w:p>
      <w:pPr>
        <w:spacing w:after="100" w:line="360"/>
      </w:pPr>
      <w:r>
        <w:rPr>
          <w:b/>
          <w:bCs/>
        </w:rPr>
        <w:t xml:space="preserve">Inputs:</w:t>
      </w:r>
    </w:p>
    <w:p>
      <w:pPr>
        <w:pStyle w:val="ListParagraph"/>
        <w:numPr>
          <w:ilvl w:val="0"/>
          <w:numId w:val="2"/>
        </w:numPr>
        <w:spacing w:after="100" w:line="360"/>
      </w:pPr>
      <w:r>
        <w:t xml:space="preserve">Target neuron classes from Stage 1</w:t>
      </w:r>
    </w:p>
    <w:p>
      <w:pPr>
        <w:pStyle w:val="ListParagraph"/>
        <w:numPr>
          <w:ilvl w:val="0"/>
          <w:numId w:val="2"/>
        </w:numPr>
        <w:spacing w:after="100" w:line="360"/>
      </w:pPr>
      <w:r>
        <w:t xml:space="preserve">Predicted regional and parenchymal ASO concentrations from Stage 3</w:t>
      </w:r>
    </w:p>
    <w:p>
      <w:pPr>
        <w:pStyle w:val="ListParagraph"/>
        <w:numPr>
          <w:ilvl w:val="0"/>
          <w:numId w:val="2"/>
        </w:numPr>
        <w:spacing w:after="100" w:line="360"/>
      </w:pPr>
      <w:r>
        <w:t xml:space="preserve">Known cell-surface receptor expression in target neuron types (e.g., endocytic uptake markers)</w:t>
      </w:r>
    </w:p>
    <w:p>
      <w:pPr>
        <w:spacing w:after="100" w:line="360"/>
      </w:pPr>
      <w:r>
        <w:rPr>
          <w:b/>
          <w:bCs/>
        </w:rPr>
        <w:t xml:space="preserve">Tools &amp; Databases Called:</w:t>
      </w:r>
    </w:p>
    <w:p>
      <w:pPr>
        <w:pStyle w:val="ListParagraph"/>
        <w:numPr>
          <w:ilvl w:val="0"/>
          <w:numId w:val="2"/>
        </w:numPr>
        <w:spacing w:after="100" w:line="360"/>
      </w:pPr>
      <w:r>
        <w:rPr>
          <w:b/>
          <w:bCs/>
        </w:rPr>
        <w:t xml:space="preserve">Allen Brain Atlas Connectivity Data: </w:t>
      </w:r>
      <w:r>
        <w:t xml:space="preserve">Spatial organization and laminar structure of target brain regions</w:t>
      </w:r>
    </w:p>
    <w:p>
      <w:pPr>
        <w:pStyle w:val="ListParagraph"/>
        <w:numPr>
          <w:ilvl w:val="0"/>
          <w:numId w:val="2"/>
        </w:numPr>
        <w:spacing w:after="100" w:line="360"/>
      </w:pPr>
      <w:r>
        <w:rPr>
          <w:b/>
          <w:bCs/>
        </w:rPr>
        <w:t xml:space="preserve">Published ASO Cellular Uptake Studies: </w:t>
      </w:r>
      <w:r>
        <w:t xml:space="preserve">Cell-type-specific ASO uptake mechanisms (scavenger receptors, receptor-mediated endocytosis, pinocytosis)</w:t>
      </w:r>
    </w:p>
    <w:p>
      <w:pPr>
        <w:pStyle w:val="ListParagraph"/>
        <w:numPr>
          <w:ilvl w:val="0"/>
          <w:numId w:val="2"/>
        </w:numPr>
        <w:spacing w:after="100" w:line="360"/>
      </w:pPr>
      <w:r>
        <w:rPr>
          <w:b/>
          <w:bCs/>
        </w:rPr>
        <w:t xml:space="preserve">Quiver Neuron-Type Electroporation Sensitivity Data: </w:t>
      </w:r>
      <w:r>
        <w:t xml:space="preserve">Surrogate for ASO cellular uptake/accessibility by neuron type</w:t>
      </w:r>
    </w:p>
    <w:p>
      <w:pPr>
        <w:spacing w:after="100" w:line="360"/>
      </w:pPr>
      <w:r>
        <w:rPr>
          <w:b/>
          <w:bCs/>
        </w:rPr>
        <w:t xml:space="preserve">Exemplary Sub-Prompts:</w:t>
      </w:r>
    </w:p>
    <w:p>
      <w:pPr>
        <w:pStyle w:val="ListParagraph"/>
        <w:numPr>
          <w:ilvl w:val="0"/>
          <w:numId w:val="2"/>
        </w:numPr>
        <w:spacing w:after="100" w:line="360"/>
      </w:pPr>
      <w:r>
        <w:t xml:space="preserve">Are Purkinje cells in the cerebellum more or less accessible to IT-delivered ASOs than pyramidal neurons in cortex?</w:t>
      </w:r>
    </w:p>
    <w:p>
      <w:pPr>
        <w:pStyle w:val="ListParagraph"/>
        <w:numPr>
          <w:ilvl w:val="0"/>
          <w:numId w:val="2"/>
        </w:numPr>
        <w:spacing w:after="100" w:line="360"/>
      </w:pPr>
      <w:r>
        <w:t xml:space="preserve">What receptors mediate ASO uptake in [target neuron type], and are they highly expressed?</w:t>
      </w:r>
    </w:p>
    <w:p>
      <w:pPr>
        <w:pStyle w:val="ListParagraph"/>
        <w:numPr>
          <w:ilvl w:val="0"/>
          <w:numId w:val="2"/>
        </w:numPr>
        <w:spacing w:after="100" w:line="360"/>
      </w:pPr>
      <w:r>
        <w:t xml:space="preserve">Do motor neurons in dorsal root ganglia show differential ASO uptake compared to motoneurons in ventral horn?</w:t>
      </w:r>
    </w:p>
    <w:p>
      <w:pPr>
        <w:spacing w:after="100" w:line="360"/>
      </w:pPr>
      <w:r>
        <w:rPr>
          <w:b/>
          <w:bCs/>
        </w:rPr>
        <w:t xml:space="preserve">Expected Outputs:</w:t>
      </w:r>
    </w:p>
    <w:p>
      <w:pPr>
        <w:pStyle w:val="ListParagraph"/>
        <w:numPr>
          <w:ilvl w:val="0"/>
          <w:numId w:val="2"/>
        </w:numPr>
        <w:spacing w:after="100" w:line="360"/>
      </w:pPr>
      <w:r>
        <w:t xml:space="preserve">Accessibility score by neuron class (qualitative or semi-quantitative: high, moderate, low)</w:t>
      </w:r>
    </w:p>
    <w:p>
      <w:pPr>
        <w:pStyle w:val="ListParagraph"/>
        <w:numPr>
          <w:ilvl w:val="0"/>
          <w:numId w:val="2"/>
        </w:numPr>
        <w:spacing w:after="100" w:line="360"/>
      </w:pPr>
      <w:r>
        <w:t xml:space="preserve">Uptake mechanism and receptor expression for each target neuron type</w:t>
      </w:r>
    </w:p>
    <w:p>
      <w:pPr>
        <w:pStyle w:val="ListParagraph"/>
        <w:numPr>
          <w:ilvl w:val="0"/>
          <w:numId w:val="2"/>
        </w:numPr>
        <w:spacing w:after="100" w:line="360"/>
      </w:pPr>
      <w:r>
        <w:t xml:space="preserve">Anatomical barriers or favorable factors (proximity to cerebrospinal fluid, degree of myelination)</w:t>
      </w:r>
    </w:p>
    <w:p>
      <w:pPr>
        <w:spacing w:after="200" w:line="360"/>
      </w:pPr>
      <w:r>
        <w:rPr>
          <w:b/>
          <w:bCs/>
        </w:rPr>
        <w:t xml:space="preserve">Format: </w:t>
      </w:r>
      <w:r>
        <w:t xml:space="preserve">Matrix table (neuron class × accessibility score with supporting references) and annotated anatomical diagrams.</w:t>
      </w:r>
    </w:p>
    <w:p>
      <w:pPr>
        <w:pStyle w:val="Heading2"/>
      </w:pPr>
      <w:r>
        <w:t xml:space="preserve">Stage 5: Exposure-Efficacy Threshold Analysis</w:t>
      </w:r>
    </w:p>
    <w:p>
      <w:pPr>
        <w:spacing w:after="200" w:line="360"/>
      </w:pPr>
      <w:r>
        <w:rPr>
          <w:b/>
          <w:bCs/>
        </w:rPr>
        <w:t xml:space="preserve">Purpose: </w:t>
      </w:r>
      <w:r>
        <w:t xml:space="preserve">Compare predicted regional exposure to minimum knockdown threshold (from Pipeline_002). Determine if exposure is sufficient for efficacy.</w:t>
      </w:r>
    </w:p>
    <w:p>
      <w:pPr>
        <w:spacing w:after="100" w:line="360"/>
      </w:pPr>
      <w:r>
        <w:rPr>
          <w:b/>
          <w:bCs/>
        </w:rPr>
        <w:t xml:space="preserve">Inputs:</w:t>
      </w:r>
    </w:p>
    <w:p>
      <w:pPr>
        <w:pStyle w:val="ListParagraph"/>
        <w:numPr>
          <w:ilvl w:val="0"/>
          <w:numId w:val="2"/>
        </w:numPr>
        <w:spacing w:after="100" w:line="360"/>
      </w:pPr>
      <w:r>
        <w:t xml:space="preserve">Predicted regional brain ASO concentrations from Stage 3</w:t>
      </w:r>
    </w:p>
    <w:p>
      <w:pPr>
        <w:pStyle w:val="ListParagraph"/>
        <w:numPr>
          <w:ilvl w:val="0"/>
          <w:numId w:val="2"/>
        </w:numPr>
        <w:spacing w:after="100" w:line="360"/>
      </w:pPr>
      <w:r>
        <w:t xml:space="preserve">Minimum knockdown threshold (from Pipeline_002: target mRNA reduction required for efficacy)</w:t>
      </w:r>
    </w:p>
    <w:p>
      <w:pPr>
        <w:pStyle w:val="ListParagraph"/>
        <w:numPr>
          <w:ilvl w:val="0"/>
          <w:numId w:val="2"/>
        </w:numPr>
        <w:spacing w:after="100" w:line="360"/>
      </w:pPr>
      <w:r>
        <w:t xml:space="preserve">Published dose-response relationships for comparable ASOs</w:t>
      </w:r>
    </w:p>
    <w:p>
      <w:pPr>
        <w:pStyle w:val="ListParagraph"/>
        <w:numPr>
          <w:ilvl w:val="0"/>
          <w:numId w:val="2"/>
        </w:numPr>
        <w:spacing w:after="100" w:line="360"/>
      </w:pPr>
      <w:r>
        <w:t xml:space="preserve">Neuron-class accessibility scores from Stage 4</w:t>
      </w:r>
    </w:p>
    <w:p>
      <w:pPr>
        <w:spacing w:after="100" w:line="360"/>
      </w:pPr>
      <w:r>
        <w:rPr>
          <w:b/>
          <w:bCs/>
        </w:rPr>
        <w:t xml:space="preserve">Tools &amp; Databases Called:</w:t>
      </w:r>
    </w:p>
    <w:p>
      <w:pPr>
        <w:pStyle w:val="ListParagraph"/>
        <w:numPr>
          <w:ilvl w:val="0"/>
          <w:numId w:val="2"/>
        </w:numPr>
        <w:spacing w:after="100" w:line="360"/>
      </w:pPr>
      <w:r>
        <w:rPr>
          <w:b/>
          <w:bCs/>
        </w:rPr>
        <w:t xml:space="preserve">Sapphire Threshold Model: </w:t>
      </w:r>
      <w:r>
        <w:t xml:space="preserve">Maps predicted ASO concentration to expected mRNA knockdown and therapeutic efficacy</w:t>
      </w:r>
    </w:p>
    <w:p>
      <w:pPr>
        <w:pStyle w:val="ListParagraph"/>
        <w:numPr>
          <w:ilvl w:val="0"/>
          <w:numId w:val="2"/>
        </w:numPr>
        <w:spacing w:after="100" w:line="360"/>
      </w:pPr>
      <w:r>
        <w:rPr>
          <w:b/>
          <w:bCs/>
        </w:rPr>
        <w:t xml:space="preserve">Dose-Exposure-Response Modeling: </w:t>
      </w:r>
      <w:r>
        <w:t xml:space="preserve">Quantitative relationship between ASO dose, tissue concentration, target engagement, and phenotypic outcome</w:t>
      </w:r>
    </w:p>
    <w:p>
      <w:pPr>
        <w:pStyle w:val="ListParagraph"/>
        <w:numPr>
          <w:ilvl w:val="0"/>
          <w:numId w:val="2"/>
        </w:numPr>
        <w:spacing w:after="100" w:line="360"/>
      </w:pPr>
      <w:r>
        <w:rPr>
          <w:b/>
          <w:bCs/>
        </w:rPr>
        <w:t xml:space="preserve">Quiver Electroporation Dose-Response Data: </w:t>
      </w:r>
      <w:r>
        <w:t xml:space="preserve">Surrogate for ASO concentration-response in neuron subtypes</w:t>
      </w:r>
    </w:p>
    <w:p>
      <w:pPr>
        <w:spacing w:after="100" w:line="360"/>
      </w:pPr>
      <w:r>
        <w:rPr>
          <w:b/>
          <w:bCs/>
        </w:rPr>
        <w:t xml:space="preserve">Exemplary Sub-Prompts:</w:t>
      </w:r>
    </w:p>
    <w:p>
      <w:pPr>
        <w:pStyle w:val="ListParagraph"/>
        <w:numPr>
          <w:ilvl w:val="0"/>
          <w:numId w:val="2"/>
        </w:numPr>
        <w:spacing w:after="100" w:line="360"/>
      </w:pPr>
      <w:r>
        <w:t xml:space="preserve">What peak CSF and brain concentrations are needed to achieve ≥70% mRNA knockdown in motor neurons?</w:t>
      </w:r>
    </w:p>
    <w:p>
      <w:pPr>
        <w:pStyle w:val="ListParagraph"/>
        <w:numPr>
          <w:ilvl w:val="0"/>
          <w:numId w:val="2"/>
        </w:numPr>
        <w:spacing w:after="100" w:line="360"/>
      </w:pPr>
      <w:r>
        <w:t xml:space="preserve">How does the relationship between ASO concentration and mRNA knockdown differ between cortical excitatory and inhibitory neurons?</w:t>
      </w:r>
    </w:p>
    <w:p>
      <w:pPr>
        <w:pStyle w:val="ListParagraph"/>
        <w:numPr>
          <w:ilvl w:val="0"/>
          <w:numId w:val="2"/>
        </w:numPr>
        <w:spacing w:after="100" w:line="360"/>
      </w:pPr>
      <w:r>
        <w:t xml:space="preserve">Is the predicted exposure sufficient to exceed the minimum knockdown threshold in ≥90% of target neurons?</w:t>
      </w:r>
    </w:p>
    <w:p>
      <w:pPr>
        <w:spacing w:after="100" w:line="360"/>
      </w:pPr>
      <w:r>
        <w:rPr>
          <w:b/>
          <w:bCs/>
        </w:rPr>
        <w:t xml:space="preserve">Expected Outputs:</w:t>
      </w:r>
    </w:p>
    <w:p>
      <w:pPr>
        <w:pStyle w:val="ListParagraph"/>
        <w:numPr>
          <w:ilvl w:val="0"/>
          <w:numId w:val="2"/>
        </w:numPr>
        <w:spacing w:after="100" w:line="360"/>
      </w:pPr>
      <w:r>
        <w:t xml:space="preserve">Pass/Fail assessment for each brain region and neuron class</w:t>
      </w:r>
    </w:p>
    <w:p>
      <w:pPr>
        <w:pStyle w:val="ListParagraph"/>
        <w:numPr>
          <w:ilvl w:val="0"/>
          <w:numId w:val="2"/>
        </w:numPr>
        <w:spacing w:after="100" w:line="360"/>
      </w:pPr>
      <w:r>
        <w:t xml:space="preserve">Predicted % mRNA knockdown by region and cell type at planned dose</w:t>
      </w:r>
    </w:p>
    <w:p>
      <w:pPr>
        <w:pStyle w:val="ListParagraph"/>
        <w:numPr>
          <w:ilvl w:val="0"/>
          <w:numId w:val="2"/>
        </w:numPr>
        <w:spacing w:after="100" w:line="360"/>
      </w:pPr>
      <w:r>
        <w:t xml:space="preserve">Sensitivity analysis: robustness of efficacy prediction to dose, chemistry, and formulation variation</w:t>
      </w:r>
    </w:p>
    <w:p>
      <w:pPr>
        <w:spacing w:after="200" w:line="360"/>
      </w:pPr>
      <w:r>
        <w:rPr>
          <w:b/>
          <w:bCs/>
        </w:rPr>
        <w:t xml:space="preserve">Format: </w:t>
      </w:r>
      <w:r>
        <w:t xml:space="preserve">Pass/Fail table with quantitative knockdown predictions and graphical exposure-efficacy curves by region.</w:t>
      </w:r>
    </w:p>
    <w:p>
      <w:pPr>
        <w:pStyle w:val="Heading2"/>
      </w:pPr>
      <w:r>
        <w:t xml:space="preserve">Stage 6: Risk Assessment &amp; Delivery Strategy Recommendations</w:t>
      </w:r>
    </w:p>
    <w:p>
      <w:pPr>
        <w:spacing w:after="200" w:line="360"/>
      </w:pPr>
      <w:r>
        <w:rPr>
          <w:b/>
          <w:bCs/>
        </w:rPr>
        <w:t xml:space="preserve">Purpose: </w:t>
      </w:r>
      <w:r>
        <w:t xml:space="preserve">Identify regions at risk of under-exposure, recommend delivery modifications or alternative approaches.</w:t>
      </w:r>
    </w:p>
    <w:p>
      <w:pPr>
        <w:spacing w:after="100" w:line="360"/>
      </w:pPr>
      <w:r>
        <w:rPr>
          <w:b/>
          <w:bCs/>
        </w:rPr>
        <w:t xml:space="preserve">Inputs:</w:t>
      </w:r>
    </w:p>
    <w:p>
      <w:pPr>
        <w:pStyle w:val="ListParagraph"/>
        <w:numPr>
          <w:ilvl w:val="0"/>
          <w:numId w:val="2"/>
        </w:numPr>
        <w:spacing w:after="100" w:line="360"/>
      </w:pPr>
      <w:r>
        <w:t xml:space="preserve">Pass/Fail assessments and knockdown predictions from Stage 5</w:t>
      </w:r>
    </w:p>
    <w:p>
      <w:pPr>
        <w:pStyle w:val="ListParagraph"/>
        <w:numPr>
          <w:ilvl w:val="0"/>
          <w:numId w:val="2"/>
        </w:numPr>
        <w:spacing w:after="100" w:line="360"/>
      </w:pPr>
      <w:r>
        <w:t xml:space="preserve">Accessibility scores and anatomical/cellular barriers from Stage 4</w:t>
      </w:r>
    </w:p>
    <w:p>
      <w:pPr>
        <w:pStyle w:val="ListParagraph"/>
        <w:numPr>
          <w:ilvl w:val="0"/>
          <w:numId w:val="2"/>
        </w:numPr>
        <w:spacing w:after="100" w:line="360"/>
      </w:pPr>
      <w:r>
        <w:t xml:space="preserve">Chemistry-dependent distribution predictions and sensitivity analysis from Stage 3</w:t>
      </w:r>
    </w:p>
    <w:p>
      <w:pPr>
        <w:pStyle w:val="ListParagraph"/>
        <w:numPr>
          <w:ilvl w:val="0"/>
          <w:numId w:val="2"/>
        </w:numPr>
        <w:spacing w:after="100" w:line="360"/>
      </w:pPr>
      <w:r>
        <w:t xml:space="preserve">Therapeutic indication and unmet medical need context</w:t>
      </w:r>
    </w:p>
    <w:p>
      <w:pPr>
        <w:spacing w:after="100" w:line="360"/>
      </w:pPr>
      <w:r>
        <w:rPr>
          <w:b/>
          <w:bCs/>
        </w:rPr>
        <w:t xml:space="preserve">Tools &amp; Databases Called:</w:t>
      </w:r>
    </w:p>
    <w:p>
      <w:pPr>
        <w:pStyle w:val="ListParagraph"/>
        <w:numPr>
          <w:ilvl w:val="0"/>
          <w:numId w:val="2"/>
        </w:numPr>
        <w:spacing w:after="100" w:line="360"/>
      </w:pPr>
      <w:r>
        <w:rPr>
          <w:b/>
          <w:bCs/>
        </w:rPr>
        <w:t xml:space="preserve">Sapphire Risk Scoring: </w:t>
      </w:r>
      <w:r>
        <w:t xml:space="preserve">Quantitative weighting of under-exposure risk across regions and neuron classes</w:t>
      </w:r>
    </w:p>
    <w:p>
      <w:pPr>
        <w:pStyle w:val="ListParagraph"/>
        <w:numPr>
          <w:ilvl w:val="0"/>
          <w:numId w:val="2"/>
        </w:numPr>
        <w:spacing w:after="100" w:line="360"/>
      </w:pPr>
      <w:r>
        <w:rPr>
          <w:b/>
          <w:bCs/>
        </w:rPr>
        <w:t xml:space="preserve">Published Alternative Delivery Strategies: </w:t>
      </w:r>
      <w:r>
        <w:t xml:space="preserve">Intracerebroventricular (ICV) injection, direct brain injection, AAV-ASO hybrids, receptor-ligand conjugates</w:t>
      </w:r>
    </w:p>
    <w:p>
      <w:pPr>
        <w:pStyle w:val="ListParagraph"/>
        <w:numPr>
          <w:ilvl w:val="0"/>
          <w:numId w:val="2"/>
        </w:numPr>
        <w:spacing w:after="100" w:line="360"/>
      </w:pPr>
      <w:r>
        <w:rPr>
          <w:b/>
          <w:bCs/>
        </w:rPr>
        <w:t xml:space="preserve">Competitive Landscape Analysis: </w:t>
      </w:r>
      <w:r>
        <w:t xml:space="preserve">ASO programs targeting same gene/disease, their delivery strategies, clinical outcomes</w:t>
      </w:r>
    </w:p>
    <w:p>
      <w:pPr>
        <w:spacing w:after="100" w:line="360"/>
      </w:pPr>
      <w:r>
        <w:rPr>
          <w:b/>
          <w:bCs/>
        </w:rPr>
        <w:t xml:space="preserve">Exemplary Sub-Prompts:</w:t>
      </w:r>
    </w:p>
    <w:p>
      <w:pPr>
        <w:pStyle w:val="ListParagraph"/>
        <w:numPr>
          <w:ilvl w:val="0"/>
          <w:numId w:val="2"/>
        </w:numPr>
        <w:spacing w:after="100" w:line="360"/>
      </w:pPr>
      <w:r>
        <w:t xml:space="preserve">Which brain regions or neuron classes fall below the efficacy threshold, and by how much?</w:t>
      </w:r>
    </w:p>
    <w:p>
      <w:pPr>
        <w:pStyle w:val="ListParagraph"/>
        <w:numPr>
          <w:ilvl w:val="0"/>
          <w:numId w:val="2"/>
        </w:numPr>
        <w:spacing w:after="100" w:line="360"/>
      </w:pPr>
      <w:r>
        <w:t xml:space="preserve">Would increasing the IT dose by 2-fold or 5-fold overcome regional under-exposure?</w:t>
      </w:r>
    </w:p>
    <w:p>
      <w:pPr>
        <w:pStyle w:val="ListParagraph"/>
        <w:numPr>
          <w:ilvl w:val="0"/>
          <w:numId w:val="2"/>
        </w:numPr>
        <w:spacing w:after="100" w:line="360"/>
      </w:pPr>
      <w:r>
        <w:t xml:space="preserve">Could AAV-delivered or ICV-injected ASO approaches achieve better accessibility to [problematic region]?</w:t>
      </w:r>
    </w:p>
    <w:p>
      <w:pPr>
        <w:pStyle w:val="ListParagraph"/>
        <w:numPr>
          <w:ilvl w:val="0"/>
          <w:numId w:val="2"/>
        </w:numPr>
        <w:spacing w:after="100" w:line="360"/>
      </w:pPr>
      <w:r>
        <w:t xml:space="preserve">What is the competitive status: do comparable programs use IT, ICV, or systemic delivery for similar indications?</w:t>
      </w:r>
    </w:p>
    <w:p>
      <w:pPr>
        <w:spacing w:after="100" w:line="360"/>
      </w:pPr>
      <w:r>
        <w:rPr>
          <w:b/>
          <w:bCs/>
        </w:rPr>
        <w:t xml:space="preserve">Expected Outputs:</w:t>
      </w:r>
    </w:p>
    <w:p>
      <w:pPr>
        <w:pStyle w:val="ListParagraph"/>
        <w:numPr>
          <w:ilvl w:val="0"/>
          <w:numId w:val="2"/>
        </w:numPr>
        <w:spacing w:after="100" w:line="360"/>
      </w:pPr>
      <w:r>
        <w:t xml:space="preserve">Risk summary: regions/neuron classes at high, medium, or low risk of under-exposure</w:t>
      </w:r>
    </w:p>
    <w:p>
      <w:pPr>
        <w:pStyle w:val="ListParagraph"/>
        <w:numPr>
          <w:ilvl w:val="0"/>
          <w:numId w:val="2"/>
        </w:numPr>
        <w:spacing w:after="100" w:line="360"/>
      </w:pPr>
      <w:r>
        <w:t xml:space="preserve">Dose escalation scenarios: exposures and efficacy predictions at 2×, 5×, 10× planned dose</w:t>
      </w:r>
    </w:p>
    <w:p>
      <w:pPr>
        <w:pStyle w:val="ListParagraph"/>
        <w:numPr>
          <w:ilvl w:val="0"/>
          <w:numId w:val="2"/>
        </w:numPr>
        <w:spacing w:after="100" w:line="360"/>
      </w:pPr>
      <w:r>
        <w:t xml:space="preserve">Alternative delivery strategy recommendations (ICV, direct injection, AAV-ASO, etc.) with feasibility and clinical precedent assessment</w:t>
      </w:r>
    </w:p>
    <w:p>
      <w:pPr>
        <w:pStyle w:val="ListParagraph"/>
        <w:numPr>
          <w:ilvl w:val="0"/>
          <w:numId w:val="2"/>
        </w:numPr>
        <w:spacing w:after="100" w:line="360"/>
      </w:pPr>
      <w:r>
        <w:t xml:space="preserve">Competitive landscape insights: recommended delivery route given market precedent and unmet need</w:t>
      </w:r>
    </w:p>
    <w:p>
      <w:pPr>
        <w:pStyle w:val="ListParagraph"/>
        <w:numPr>
          <w:ilvl w:val="0"/>
          <w:numId w:val="2"/>
        </w:numPr>
        <w:spacing w:after="100" w:line="360"/>
      </w:pPr>
      <w:r>
        <w:t xml:space="preserve">Final recommendation: Proceed with IT-delivered ASO, recommend alternative delivery, or consider candidate deprioritization</w:t>
      </w:r>
    </w:p>
    <w:p>
      <w:pPr>
        <w:spacing w:after="200" w:line="360"/>
      </w:pPr>
      <w:r>
        <w:rPr>
          <w:b/>
          <w:bCs/>
        </w:rPr>
        <w:t xml:space="preserve">Format: </w:t>
      </w:r>
      <w:r>
        <w:t xml:space="preserve">Risk summary matrix, dose-escalation comparison tables, and annotated decision flowchart with final recommendation.</w:t>
      </w:r>
    </w:p>
    <w:p>
      <w:pPr>
        <w:pStyle w:val="Heading2"/>
      </w:pPr>
      <w:r>
        <w:t xml:space="preserve">Tools &amp; Databases Summary</w:t>
      </w:r>
    </w:p>
    <w:p>
      <w:pPr>
        <w:pStyle w:val="ListParagraph"/>
        <w:numPr>
          <w:ilvl w:val="0"/>
          <w:numId w:val="2"/>
        </w:numPr>
        <w:spacing w:after="100" w:line="360"/>
      </w:pPr>
      <w:r>
        <w:t xml:space="preserve">Allen Brain Atlas</w:t>
      </w:r>
    </w:p>
    <w:p>
      <w:pPr>
        <w:pStyle w:val="ListParagraph"/>
        <w:numPr>
          <w:ilvl w:val="0"/>
          <w:numId w:val="2"/>
        </w:numPr>
        <w:spacing w:after="100" w:line="360"/>
      </w:pPr>
      <w:r>
        <w:t xml:space="preserve">Allen Cell Types Database</w:t>
      </w:r>
    </w:p>
    <w:p>
      <w:pPr>
        <w:pStyle w:val="ListParagraph"/>
        <w:numPr>
          <w:ilvl w:val="0"/>
          <w:numId w:val="2"/>
        </w:numPr>
        <w:spacing w:after="100" w:line="360"/>
      </w:pPr>
      <w:r>
        <w:t xml:space="preserve">GTEx</w:t>
      </w:r>
    </w:p>
    <w:p>
      <w:pPr>
        <w:pStyle w:val="ListParagraph"/>
        <w:numPr>
          <w:ilvl w:val="0"/>
          <w:numId w:val="2"/>
        </w:numPr>
        <w:spacing w:after="100" w:line="360"/>
      </w:pPr>
      <w:r>
        <w:t xml:space="preserve">Human Protein Atlas</w:t>
      </w:r>
    </w:p>
    <w:p>
      <w:pPr>
        <w:pStyle w:val="ListParagraph"/>
        <w:numPr>
          <w:ilvl w:val="0"/>
          <w:numId w:val="2"/>
        </w:numPr>
        <w:spacing w:after="100" w:line="360"/>
      </w:pPr>
      <w:r>
        <w:t xml:space="preserve">BrainSpan</w:t>
      </w:r>
    </w:p>
    <w:p>
      <w:pPr>
        <w:pStyle w:val="ListParagraph"/>
        <w:numPr>
          <w:ilvl w:val="0"/>
          <w:numId w:val="2"/>
        </w:numPr>
        <w:spacing w:after="100" w:line="360"/>
      </w:pPr>
      <w:r>
        <w:t xml:space="preserve">Single-cell RNA-seq atlases</w:t>
      </w:r>
    </w:p>
    <w:p>
      <w:pPr>
        <w:pStyle w:val="ListParagraph"/>
        <w:numPr>
          <w:ilvl w:val="0"/>
          <w:numId w:val="2"/>
        </w:numPr>
        <w:spacing w:after="100" w:line="360"/>
      </w:pPr>
      <w:r>
        <w:t xml:space="preserve">PubMed</w:t>
      </w:r>
    </w:p>
    <w:p>
      <w:pPr>
        <w:pStyle w:val="ListParagraph"/>
        <w:numPr>
          <w:ilvl w:val="0"/>
          <w:numId w:val="2"/>
        </w:numPr>
        <w:spacing w:after="100" w:line="360"/>
      </w:pPr>
      <w:r>
        <w:t xml:space="preserve">DailyMed/FDA Drug Labels</w:t>
      </w:r>
    </w:p>
    <w:p>
      <w:pPr>
        <w:pStyle w:val="ListParagraph"/>
        <w:numPr>
          <w:ilvl w:val="0"/>
          <w:numId w:val="2"/>
        </w:numPr>
        <w:spacing w:after="100" w:line="360"/>
      </w:pPr>
      <w:r>
        <w:t xml:space="preserve">ClinicalTrials.gov</w:t>
      </w:r>
    </w:p>
    <w:p>
      <w:pPr>
        <w:pStyle w:val="ListParagraph"/>
        <w:numPr>
          <w:ilvl w:val="0"/>
          <w:numId w:val="2"/>
        </w:numPr>
        <w:spacing w:after="100" w:line="360"/>
      </w:pPr>
      <w:r>
        <w:t xml:space="preserve">Sapphire PK/Distribution Model</w:t>
      </w:r>
    </w:p>
    <w:p>
      <w:pPr>
        <w:pStyle w:val="ListParagraph"/>
        <w:numPr>
          <w:ilvl w:val="0"/>
          <w:numId w:val="2"/>
        </w:numPr>
        <w:spacing w:after="100" w:line="360"/>
      </w:pPr>
      <w:r>
        <w:t xml:space="preserve">Quiver ASO Chemistry Atlas</w:t>
      </w:r>
    </w:p>
    <w:p>
      <w:pPr>
        <w:pStyle w:val="ListParagraph"/>
        <w:numPr>
          <w:ilvl w:val="0"/>
          <w:numId w:val="2"/>
        </w:numPr>
        <w:spacing w:after="100" w:line="360"/>
      </w:pPr>
      <w:r>
        <w:t xml:space="preserve">Quiver Neuron-Type Electroporation Sensitivity Data</w:t>
      </w:r>
    </w:p>
    <w:p>
      <w:pPr>
        <w:pStyle w:val="ListParagraph"/>
        <w:numPr>
          <w:ilvl w:val="0"/>
          <w:numId w:val="2"/>
        </w:numPr>
        <w:spacing w:after="100" w:line="360"/>
      </w:pPr>
      <w:r>
        <w:t xml:space="preserve">Sapphire Threshold Model</w:t>
      </w:r>
    </w:p>
    <w:p>
      <w:pPr>
        <w:pStyle w:val="ListParagraph"/>
        <w:numPr>
          <w:ilvl w:val="0"/>
          <w:numId w:val="2"/>
        </w:numPr>
        <w:spacing w:after="100" w:line="360"/>
      </w:pPr>
      <w:r>
        <w:t xml:space="preserve">Sapphire Risk Scoring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2026-02-18T20:51:56.714Z</dcterms:created>
  <dcterms:modified xsi:type="dcterms:W3CDTF">2026-02-18T20:51:56.715Z</dcterms:modified>
</cp:coreProperties>
</file>

<file path=docProps/custom.xml><?xml version="1.0" encoding="utf-8"?>
<Properties xmlns="http://schemas.openxmlformats.org/officeDocument/2006/custom-properties" xmlns:vt="http://schemas.openxmlformats.org/officeDocument/2006/docPropsVTypes"/>
</file>