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/>
          <w:b/>
          <w:sz w:val="32"/>
        </w:rPr>
        <w:t>Sapphire Pipeline 006</w:t>
      </w:r>
    </w:p>
    <w:p>
      <w:pPr>
        <w:spacing w:after="20" w:line="360" w:lineRule="auto"/>
      </w:pPr>
      <w:r>
        <w:rPr>
          <w:rFonts w:ascii="Arial" w:hAnsi="Arial"/>
          <w:sz w:val="22"/>
        </w:rPr>
      </w:r>
    </w:p>
    <w:p>
      <w:pPr>
        <w:pStyle w:val="Heading2"/>
      </w:pPr>
      <w:r>
        <w:rPr>
          <w:rFonts w:ascii="Arial" w:hAnsi="Arial"/>
          <w:b/>
          <w:sz w:val="28"/>
        </w:rPr>
        <w:t>Workflow Prompt</w:t>
      </w:r>
    </w:p>
    <w:p>
      <w:pPr>
        <w:spacing w:after="20" w:line="360" w:lineRule="auto"/>
      </w:pPr>
      <w:r>
        <w:rPr>
          <w:rFonts w:ascii="Arial" w:hAnsi="Arial"/>
          <w:sz w:val="22"/>
        </w:rPr>
        <w:t>What other disease-causing genes produce similar electrophysiological or transcriptomic rescue signatures? Can they be addressed by the same oligos?</w:t>
      </w:r>
    </w:p>
    <w:p>
      <w:pPr>
        <w:spacing w:after="20" w:line="360" w:lineRule="auto"/>
      </w:pPr>
      <w:r>
        <w:rPr>
          <w:rFonts w:ascii="Arial" w:hAnsi="Arial"/>
          <w:sz w:val="22"/>
        </w:rPr>
      </w:r>
    </w:p>
    <w:p>
      <w:pPr>
        <w:spacing w:after="20" w:line="360" w:lineRule="auto"/>
      </w:pPr>
      <w:r>
        <w:rPr>
          <w:rFonts w:ascii="Arial" w:hAnsi="Arial"/>
          <w:sz w:val="22"/>
        </w:rPr>
        <w:t>Pipeline 006 guides ASO discovery by systematically addressing one of the six core questions underlying target validation and oligonucleotide design for Quiver Bioscience's therapeutic programs.</w:t>
      </w:r>
    </w:p>
    <w:p>
      <w:pPr>
        <w:spacing w:after="20" w:line="360" w:lineRule="auto"/>
      </w:pPr>
      <w:r>
        <w:rPr>
          <w:rFonts w:ascii="Arial" w:hAnsi="Arial"/>
          <w:sz w:val="22"/>
        </w:rPr>
        <w:t>This workflow integrates electrophysiological phenotyping data from Quiver's CRISPR atlas with patent landscape analysis, functional validation metrics, and regulatory precedent to accelerate target-to-lead progression.</w:t>
      </w:r>
    </w:p>
    <w:p>
      <w:pPr>
        <w:spacing w:after="20" w:line="360" w:lineRule="auto"/>
      </w:pPr>
      <w:r>
        <w:rPr>
          <w:rFonts w:ascii="Arial" w:hAnsi="Arial"/>
          <w:sz w:val="22"/>
        </w:rPr>
        <w:t>Each stage incorporates domain-specific tools, databases, and decision points to mitigate technical and commercial risk while maintaining scientific rigor.</w:t>
      </w:r>
    </w:p>
    <w:p>
      <w:pPr>
        <w:spacing w:after="20" w:line="360" w:lineRule="auto"/>
      </w:pPr>
      <w:r>
        <w:rPr>
          <w:rFonts w:ascii="Arial" w:hAnsi="Arial"/>
          <w:sz w:val="22"/>
        </w:rPr>
      </w:r>
    </w:p>
    <w:p>
      <w:pPr>
        <w:pStyle w:val="Heading2"/>
      </w:pPr>
      <w:r>
        <w:rPr>
          <w:rFonts w:ascii="Arial" w:hAnsi="Arial"/>
          <w:b/>
          <w:sz w:val="28"/>
        </w:rPr>
        <w:t>Pipeline Overview</w:t>
      </w:r>
    </w:p>
    <w:p>
      <w:pPr>
        <w:spacing w:after="20" w:line="360" w:lineRule="auto"/>
      </w:pPr>
      <w:r>
        <w:rPr>
          <w:rFonts w:ascii="Arial" w:hAnsi="Arial"/>
          <w:sz w:val="22"/>
        </w:rPr>
        <w:t>This six-stage workflow is designed to deliver actionable recommendations for ASO selection and clinical development strategy. Each stage builds on prior outputs and generates decision gates to guide resource allocation.</w:t>
      </w:r>
    </w:p>
    <w:p>
      <w:pPr>
        <w:spacing w:after="20" w:line="360" w:lineRule="auto"/>
      </w:pPr>
      <w:r>
        <w:rPr>
          <w:rFonts w:ascii="Arial" w:hAnsi="Arial"/>
          <w:sz w:val="22"/>
        </w:rPr>
        <w:t>The pipeline leverages both curated public databases and Quiver's proprietary electrophysiological dataset to ground recommendations in functional phenotypes and mechanistic understanding.</w:t>
      </w:r>
    </w:p>
    <w:p>
      <w:pPr>
        <w:spacing w:after="20" w:line="360" w:lineRule="auto"/>
      </w:pPr>
      <w:r>
        <w:rPr>
          <w:rFonts w:ascii="Arial" w:hAnsi="Arial"/>
          <w:sz w:val="22"/>
        </w:rPr>
      </w:r>
    </w:p>
    <w:p>
      <w:pPr>
        <w:pStyle w:val="Heading2"/>
      </w:pPr>
      <w:r>
        <w:rPr>
          <w:rFonts w:ascii="Arial" w:hAnsi="Arial"/>
          <w:b/>
          <w:sz w:val="28"/>
        </w:rPr>
        <w:t>Stage 1: Electrophysiological Signature Clustering</w:t>
      </w:r>
    </w:p>
    <w:p>
      <w:pPr>
        <w:spacing w:after="20" w:line="360" w:lineRule="auto"/>
      </w:pPr>
      <w:r>
        <w:rPr>
          <w:rFonts w:ascii="Arial" w:hAnsi="Arial"/>
          <w:b/>
          <w:sz w:val="22"/>
        </w:rPr>
        <w:t xml:space="preserve">Purpose: </w:t>
      </w:r>
      <w:r>
        <w:rPr>
          <w:rFonts w:ascii="Arial" w:hAnsi="Arial"/>
          <w:sz w:val="22"/>
        </w:rPr>
        <w:t>Assess electrophysiological signature clustering to identify potential design constraints and opportunities for optimized ASO selection.</w:t>
      </w:r>
    </w:p>
    <w:p>
      <w:pPr>
        <w:spacing w:after="10" w:line="360" w:lineRule="auto"/>
      </w:pPr>
      <w:r>
        <w:rPr>
          <w:rFonts w:ascii="Arial" w:hAnsi="Arial"/>
          <w:b/>
          <w:sz w:val="22"/>
        </w:rPr>
        <w:t>Inputs:</w:t>
      </w:r>
    </w:p>
    <w:p>
      <w:pPr>
        <w:pStyle w:val="ListBullet"/>
        <w:spacing w:after="10" w:line="360" w:lineRule="auto"/>
      </w:pPr>
      <w:r>
        <w:t>Gene or pathway identifier and clinical phenotype</w:t>
      </w:r>
    </w:p>
    <w:p>
      <w:pPr>
        <w:pStyle w:val="ListBullet"/>
        <w:spacing w:after="10" w:line="360" w:lineRule="auto"/>
      </w:pPr>
      <w:r>
        <w:t>Relevant databases (ClinVar, OMIM, Quiver atlas)</w:t>
      </w:r>
    </w:p>
    <w:p>
      <w:pPr>
        <w:pStyle w:val="ListBullet"/>
        <w:spacing w:after="10" w:line="360" w:lineRule="auto"/>
      </w:pPr>
      <w:r>
        <w:t>Prior ASO or genetic intervention studies</w:t>
      </w:r>
    </w:p>
    <w:p>
      <w:pPr>
        <w:pStyle w:val="ListBullet"/>
        <w:spacing w:after="10" w:line="360" w:lineRule="auto"/>
      </w:pPr>
      <w:r>
        <w:t>Neuronal phenotype and functional readouts</w:t>
      </w:r>
    </w:p>
    <w:p>
      <w:pPr>
        <w:pStyle w:val="ListBullet"/>
        <w:spacing w:after="10" w:line="360" w:lineRule="auto"/>
      </w:pPr>
      <w:r>
        <w:t>Patient or model organism outcome data</w:t>
      </w:r>
    </w:p>
    <w:p>
      <w:pPr>
        <w:spacing w:after="20" w:line="360" w:lineRule="auto"/>
      </w:pPr>
      <w:r>
        <w:rPr>
          <w:rFonts w:ascii="Arial" w:hAnsi="Arial"/>
          <w:sz w:val="22"/>
        </w:rPr>
      </w:r>
    </w:p>
    <w:p>
      <w:pPr>
        <w:spacing w:after="10" w:line="360" w:lineRule="auto"/>
      </w:pPr>
      <w:r>
        <w:rPr>
          <w:rFonts w:ascii="Arial" w:hAnsi="Arial"/>
          <w:b/>
          <w:sz w:val="22"/>
        </w:rPr>
        <w:t>Tools &amp; Databases Called:</w:t>
      </w:r>
    </w:p>
    <w:p>
      <w:pPr>
        <w:pStyle w:val="ListBullet"/>
        <w:spacing w:after="10" w:line="360" w:lineRule="auto"/>
      </w:pPr>
      <w:r>
        <w:t>ClinVar, OMIM, UniProt variant databases</w:t>
      </w:r>
    </w:p>
    <w:p>
      <w:pPr>
        <w:pStyle w:val="ListBullet"/>
        <w:spacing w:after="10" w:line="360" w:lineRule="auto"/>
      </w:pPr>
      <w:r>
        <w:t>Quiver electrophysiology CRISPR atlas</w:t>
      </w:r>
    </w:p>
    <w:p>
      <w:pPr>
        <w:pStyle w:val="ListBullet"/>
        <w:spacing w:after="10" w:line="360" w:lineRule="auto"/>
      </w:pPr>
      <w:r>
        <w:t>Custom gene expression and phenotype mapping</w:t>
      </w:r>
    </w:p>
    <w:p>
      <w:pPr>
        <w:pStyle w:val="ListBullet"/>
        <w:spacing w:after="10" w:line="360" w:lineRule="auto"/>
      </w:pPr>
      <w:r>
        <w:t>Patent search platforms (Google Patents, Espacenet)</w:t>
      </w:r>
    </w:p>
    <w:p>
      <w:pPr>
        <w:pStyle w:val="ListBullet"/>
        <w:spacing w:after="10" w:line="360" w:lineRule="auto"/>
      </w:pPr>
      <w:r>
        <w:t>Bioinformatic sequence alignment tools</w:t>
      </w:r>
    </w:p>
    <w:p>
      <w:pPr>
        <w:pStyle w:val="ListBullet"/>
        <w:spacing w:after="10" w:line="360" w:lineRule="auto"/>
      </w:pPr>
      <w:r>
        <w:t>Statistical correlation and clustering algorithms</w:t>
      </w:r>
    </w:p>
    <w:p>
      <w:pPr>
        <w:spacing w:after="20" w:line="360" w:lineRule="auto"/>
      </w:pPr>
      <w:r>
        <w:rPr>
          <w:rFonts w:ascii="Arial" w:hAnsi="Arial"/>
          <w:sz w:val="22"/>
        </w:rPr>
      </w:r>
    </w:p>
    <w:p>
      <w:pPr>
        <w:spacing w:after="10" w:line="360" w:lineRule="auto"/>
      </w:pPr>
      <w:r>
        <w:rPr>
          <w:rFonts w:ascii="Arial" w:hAnsi="Arial"/>
          <w:b/>
          <w:sz w:val="22"/>
        </w:rPr>
        <w:t>Exemplary Sub-Prompts:</w:t>
      </w:r>
    </w:p>
    <w:p>
      <w:pPr>
        <w:pStyle w:val="ListBullet"/>
        <w:spacing w:after="10" w:line="360" w:lineRule="auto"/>
      </w:pPr>
      <w:r>
        <w:t>What are the top 10 disease-associated variants in this gene?</w:t>
      </w:r>
    </w:p>
    <w:p>
      <w:pPr>
        <w:pStyle w:val="ListBullet"/>
        <w:spacing w:after="10" w:line="360" w:lineRule="auto"/>
      </w:pPr>
      <w:r>
        <w:t>How do knockdown levels correlate with rescue outcomes?</w:t>
      </w:r>
    </w:p>
    <w:p>
      <w:pPr>
        <w:pStyle w:val="ListBullet"/>
        <w:spacing w:after="10" w:line="360" w:lineRule="auto"/>
      </w:pPr>
      <w:r>
        <w:t>Which tissues or cell types show critical gene expression?</w:t>
      </w:r>
    </w:p>
    <w:p>
      <w:pPr>
        <w:pStyle w:val="ListBullet"/>
        <w:spacing w:after="10" w:line="360" w:lineRule="auto"/>
      </w:pPr>
      <w:r>
        <w:t>What is the minimal effective ASO concentration?</w:t>
      </w:r>
    </w:p>
    <w:p>
      <w:pPr>
        <w:pStyle w:val="ListBullet"/>
        <w:spacing w:after="10" w:line="360" w:lineRule="auto"/>
      </w:pPr>
      <w:r>
        <w:t>Are there published safety or off-target concerns?</w:t>
      </w:r>
    </w:p>
    <w:p>
      <w:pPr>
        <w:spacing w:after="20" w:line="360" w:lineRule="auto"/>
      </w:pPr>
      <w:r>
        <w:rPr>
          <w:rFonts w:ascii="Arial" w:hAnsi="Arial"/>
          <w:sz w:val="22"/>
        </w:rPr>
      </w:r>
    </w:p>
    <w:p>
      <w:pPr>
        <w:spacing w:after="10" w:line="360" w:lineRule="auto"/>
      </w:pPr>
      <w:r>
        <w:rPr>
          <w:rFonts w:ascii="Arial" w:hAnsi="Arial"/>
          <w:b/>
          <w:sz w:val="22"/>
        </w:rPr>
        <w:t>Expected Outputs:</w:t>
      </w:r>
    </w:p>
    <w:p>
      <w:pPr>
        <w:pStyle w:val="ListBullet"/>
        <w:spacing w:after="10" w:line="360" w:lineRule="auto"/>
      </w:pPr>
      <w:r>
        <w:t>Comprehensive variant-phenotype association report</w:t>
      </w:r>
    </w:p>
    <w:p>
      <w:pPr>
        <w:pStyle w:val="ListBullet"/>
        <w:spacing w:after="10" w:line="360" w:lineRule="auto"/>
      </w:pPr>
      <w:r>
        <w:t>Dose-response curves and rescue thresholds</w:t>
      </w:r>
    </w:p>
    <w:p>
      <w:pPr>
        <w:pStyle w:val="ListBullet"/>
        <w:spacing w:after="10" w:line="360" w:lineRule="auto"/>
      </w:pPr>
      <w:r>
        <w:t>Selectivity and tissue distribution summary</w:t>
      </w:r>
    </w:p>
    <w:p>
      <w:pPr>
        <w:pStyle w:val="ListBullet"/>
        <w:spacing w:after="10" w:line="360" w:lineRule="auto"/>
      </w:pPr>
      <w:r>
        <w:t>Patent landscape and freedom-to-operate analysis</w:t>
      </w:r>
    </w:p>
    <w:p>
      <w:pPr>
        <w:pStyle w:val="ListBullet"/>
        <w:spacing w:after="10" w:line="360" w:lineRule="auto"/>
      </w:pPr>
      <w:r>
        <w:t>Recommended ASO design specifications</w:t>
      </w:r>
    </w:p>
    <w:p>
      <w:pPr>
        <w:pStyle w:val="ListBullet"/>
        <w:spacing w:after="10" w:line="360" w:lineRule="auto"/>
      </w:pPr>
      <w:r>
        <w:t>Timeline and regulatory pathway forecast</w:t>
      </w:r>
    </w:p>
    <w:p>
      <w:pPr>
        <w:spacing w:after="20" w:line="360" w:lineRule="auto"/>
      </w:pPr>
      <w:r>
        <w:rPr>
          <w:rFonts w:ascii="Arial" w:hAnsi="Arial"/>
          <w:sz w:val="22"/>
        </w:rPr>
      </w:r>
    </w:p>
    <w:p>
      <w:pPr>
        <w:spacing w:after="20" w:line="360" w:lineRule="auto"/>
      </w:pPr>
      <w:r>
        <w:rPr>
          <w:rFonts w:ascii="Arial" w:hAnsi="Arial"/>
          <w:b/>
          <w:sz w:val="22"/>
        </w:rPr>
        <w:t xml:space="preserve">Format: </w:t>
      </w:r>
      <w:r>
        <w:rPr>
          <w:rFonts w:ascii="Arial" w:hAnsi="Arial"/>
          <w:sz w:val="22"/>
        </w:rPr>
        <w:t>Markdown report with structured findings, decision trees, and prioritized recommendations for downstream ASO design.</w:t>
      </w:r>
    </w:p>
    <w:p>
      <w:pPr>
        <w:spacing w:after="20" w:line="360" w:lineRule="auto"/>
      </w:pPr>
      <w:r>
        <w:rPr>
          <w:rFonts w:ascii="Arial" w:hAnsi="Arial"/>
          <w:sz w:val="22"/>
        </w:rPr>
      </w:r>
    </w:p>
    <w:p>
      <w:pPr>
        <w:pStyle w:val="Heading2"/>
      </w:pPr>
      <w:r>
        <w:rPr>
          <w:rFonts w:ascii="Arial" w:hAnsi="Arial"/>
          <w:b/>
          <w:sz w:val="28"/>
        </w:rPr>
        <w:t>Stage 2: Transcriptomic Signature Matching</w:t>
      </w:r>
    </w:p>
    <w:p>
      <w:pPr>
        <w:spacing w:after="20" w:line="360" w:lineRule="auto"/>
      </w:pPr>
      <w:r>
        <w:rPr>
          <w:rFonts w:ascii="Arial" w:hAnsi="Arial"/>
          <w:b/>
          <w:sz w:val="22"/>
        </w:rPr>
        <w:t xml:space="preserve">Purpose: </w:t>
      </w:r>
      <w:r>
        <w:rPr>
          <w:rFonts w:ascii="Arial" w:hAnsi="Arial"/>
          <w:sz w:val="22"/>
        </w:rPr>
        <w:t>Assess transcriptomic signature matching to identify potential design constraints and opportunities for optimized ASO selection.</w:t>
      </w:r>
    </w:p>
    <w:p>
      <w:pPr>
        <w:spacing w:after="10" w:line="360" w:lineRule="auto"/>
      </w:pPr>
      <w:r>
        <w:rPr>
          <w:rFonts w:ascii="Arial" w:hAnsi="Arial"/>
          <w:b/>
          <w:sz w:val="22"/>
        </w:rPr>
        <w:t>Inputs:</w:t>
      </w:r>
    </w:p>
    <w:p>
      <w:pPr>
        <w:pStyle w:val="ListBullet"/>
        <w:spacing w:after="10" w:line="360" w:lineRule="auto"/>
      </w:pPr>
      <w:r>
        <w:t>Gene or pathway identifier and clinical phenotype</w:t>
      </w:r>
    </w:p>
    <w:p>
      <w:pPr>
        <w:pStyle w:val="ListBullet"/>
        <w:spacing w:after="10" w:line="360" w:lineRule="auto"/>
      </w:pPr>
      <w:r>
        <w:t>Relevant databases (ClinVar, OMIM, Quiver atlas)</w:t>
      </w:r>
    </w:p>
    <w:p>
      <w:pPr>
        <w:pStyle w:val="ListBullet"/>
        <w:spacing w:after="10" w:line="360" w:lineRule="auto"/>
      </w:pPr>
      <w:r>
        <w:t>Prior ASO or genetic intervention studies</w:t>
      </w:r>
    </w:p>
    <w:p>
      <w:pPr>
        <w:pStyle w:val="ListBullet"/>
        <w:spacing w:after="10" w:line="360" w:lineRule="auto"/>
      </w:pPr>
      <w:r>
        <w:t>Neuronal phenotype and functional readouts</w:t>
      </w:r>
    </w:p>
    <w:p>
      <w:pPr>
        <w:pStyle w:val="ListBullet"/>
        <w:spacing w:after="10" w:line="360" w:lineRule="auto"/>
      </w:pPr>
      <w:r>
        <w:t>Patient or model organism outcome data</w:t>
      </w:r>
    </w:p>
    <w:p>
      <w:pPr>
        <w:spacing w:after="20" w:line="360" w:lineRule="auto"/>
      </w:pPr>
      <w:r>
        <w:rPr>
          <w:rFonts w:ascii="Arial" w:hAnsi="Arial"/>
          <w:sz w:val="22"/>
        </w:rPr>
      </w:r>
    </w:p>
    <w:p>
      <w:pPr>
        <w:spacing w:after="10" w:line="360" w:lineRule="auto"/>
      </w:pPr>
      <w:r>
        <w:rPr>
          <w:rFonts w:ascii="Arial" w:hAnsi="Arial"/>
          <w:b/>
          <w:sz w:val="22"/>
        </w:rPr>
        <w:t>Tools &amp; Databases Called:</w:t>
      </w:r>
    </w:p>
    <w:p>
      <w:pPr>
        <w:pStyle w:val="ListBullet"/>
        <w:spacing w:after="10" w:line="360" w:lineRule="auto"/>
      </w:pPr>
      <w:r>
        <w:t>ClinVar, OMIM, UniProt variant databases</w:t>
      </w:r>
    </w:p>
    <w:p>
      <w:pPr>
        <w:pStyle w:val="ListBullet"/>
        <w:spacing w:after="10" w:line="360" w:lineRule="auto"/>
      </w:pPr>
      <w:r>
        <w:t>Quiver electrophysiology CRISPR atlas</w:t>
      </w:r>
    </w:p>
    <w:p>
      <w:pPr>
        <w:pStyle w:val="ListBullet"/>
        <w:spacing w:after="10" w:line="360" w:lineRule="auto"/>
      </w:pPr>
      <w:r>
        <w:t>Custom gene expression and phenotype mapping</w:t>
      </w:r>
    </w:p>
    <w:p>
      <w:pPr>
        <w:pStyle w:val="ListBullet"/>
        <w:spacing w:after="10" w:line="360" w:lineRule="auto"/>
      </w:pPr>
      <w:r>
        <w:t>Patent search platforms (Google Patents, Espacenet)</w:t>
      </w:r>
    </w:p>
    <w:p>
      <w:pPr>
        <w:pStyle w:val="ListBullet"/>
        <w:spacing w:after="10" w:line="360" w:lineRule="auto"/>
      </w:pPr>
      <w:r>
        <w:t>Bioinformatic sequence alignment tools</w:t>
      </w:r>
    </w:p>
    <w:p>
      <w:pPr>
        <w:pStyle w:val="ListBullet"/>
        <w:spacing w:after="10" w:line="360" w:lineRule="auto"/>
      </w:pPr>
      <w:r>
        <w:t>Statistical correlation and clustering algorithms</w:t>
      </w:r>
    </w:p>
    <w:p>
      <w:pPr>
        <w:spacing w:after="20" w:line="360" w:lineRule="auto"/>
      </w:pPr>
      <w:r>
        <w:rPr>
          <w:rFonts w:ascii="Arial" w:hAnsi="Arial"/>
          <w:sz w:val="22"/>
        </w:rPr>
      </w:r>
    </w:p>
    <w:p>
      <w:pPr>
        <w:spacing w:after="10" w:line="360" w:lineRule="auto"/>
      </w:pPr>
      <w:r>
        <w:rPr>
          <w:rFonts w:ascii="Arial" w:hAnsi="Arial"/>
          <w:b/>
          <w:sz w:val="22"/>
        </w:rPr>
        <w:t>Exemplary Sub-Prompts:</w:t>
      </w:r>
    </w:p>
    <w:p>
      <w:pPr>
        <w:pStyle w:val="ListBullet"/>
        <w:spacing w:after="10" w:line="360" w:lineRule="auto"/>
      </w:pPr>
      <w:r>
        <w:t>What are the top 10 disease-associated variants in this gene?</w:t>
      </w:r>
    </w:p>
    <w:p>
      <w:pPr>
        <w:pStyle w:val="ListBullet"/>
        <w:spacing w:after="10" w:line="360" w:lineRule="auto"/>
      </w:pPr>
      <w:r>
        <w:t>How do knockdown levels correlate with rescue outcomes?</w:t>
      </w:r>
    </w:p>
    <w:p>
      <w:pPr>
        <w:pStyle w:val="ListBullet"/>
        <w:spacing w:after="10" w:line="360" w:lineRule="auto"/>
      </w:pPr>
      <w:r>
        <w:t>Which tissues or cell types show critical gene expression?</w:t>
      </w:r>
    </w:p>
    <w:p>
      <w:pPr>
        <w:pStyle w:val="ListBullet"/>
        <w:spacing w:after="10" w:line="360" w:lineRule="auto"/>
      </w:pPr>
      <w:r>
        <w:t>What is the minimal effective ASO concentration?</w:t>
      </w:r>
    </w:p>
    <w:p>
      <w:pPr>
        <w:pStyle w:val="ListBullet"/>
        <w:spacing w:after="10" w:line="360" w:lineRule="auto"/>
      </w:pPr>
      <w:r>
        <w:t>Are there published safety or off-target concerns?</w:t>
      </w:r>
    </w:p>
    <w:p>
      <w:pPr>
        <w:spacing w:after="20" w:line="360" w:lineRule="auto"/>
      </w:pPr>
      <w:r>
        <w:rPr>
          <w:rFonts w:ascii="Arial" w:hAnsi="Arial"/>
          <w:sz w:val="22"/>
        </w:rPr>
      </w:r>
    </w:p>
    <w:p>
      <w:pPr>
        <w:spacing w:after="10" w:line="360" w:lineRule="auto"/>
      </w:pPr>
      <w:r>
        <w:rPr>
          <w:rFonts w:ascii="Arial" w:hAnsi="Arial"/>
          <w:b/>
          <w:sz w:val="22"/>
        </w:rPr>
        <w:t>Expected Outputs:</w:t>
      </w:r>
    </w:p>
    <w:p>
      <w:pPr>
        <w:pStyle w:val="ListBullet"/>
        <w:spacing w:after="10" w:line="360" w:lineRule="auto"/>
      </w:pPr>
      <w:r>
        <w:t>Comprehensive variant-phenotype association report</w:t>
      </w:r>
    </w:p>
    <w:p>
      <w:pPr>
        <w:pStyle w:val="ListBullet"/>
        <w:spacing w:after="10" w:line="360" w:lineRule="auto"/>
      </w:pPr>
      <w:r>
        <w:t>Dose-response curves and rescue thresholds</w:t>
      </w:r>
    </w:p>
    <w:p>
      <w:pPr>
        <w:pStyle w:val="ListBullet"/>
        <w:spacing w:after="10" w:line="360" w:lineRule="auto"/>
      </w:pPr>
      <w:r>
        <w:t>Selectivity and tissue distribution summary</w:t>
      </w:r>
    </w:p>
    <w:p>
      <w:pPr>
        <w:pStyle w:val="ListBullet"/>
        <w:spacing w:after="10" w:line="360" w:lineRule="auto"/>
      </w:pPr>
      <w:r>
        <w:t>Patent landscape and freedom-to-operate analysis</w:t>
      </w:r>
    </w:p>
    <w:p>
      <w:pPr>
        <w:pStyle w:val="ListBullet"/>
        <w:spacing w:after="10" w:line="360" w:lineRule="auto"/>
      </w:pPr>
      <w:r>
        <w:t>Recommended ASO design specifications</w:t>
      </w:r>
    </w:p>
    <w:p>
      <w:pPr>
        <w:pStyle w:val="ListBullet"/>
        <w:spacing w:after="10" w:line="360" w:lineRule="auto"/>
      </w:pPr>
      <w:r>
        <w:t>Timeline and regulatory pathway forecast</w:t>
      </w:r>
    </w:p>
    <w:p>
      <w:pPr>
        <w:spacing w:after="20" w:line="360" w:lineRule="auto"/>
      </w:pPr>
      <w:r>
        <w:rPr>
          <w:rFonts w:ascii="Arial" w:hAnsi="Arial"/>
          <w:sz w:val="22"/>
        </w:rPr>
      </w:r>
    </w:p>
    <w:p>
      <w:pPr>
        <w:spacing w:after="20" w:line="360" w:lineRule="auto"/>
      </w:pPr>
      <w:r>
        <w:rPr>
          <w:rFonts w:ascii="Arial" w:hAnsi="Arial"/>
          <w:b/>
          <w:sz w:val="22"/>
        </w:rPr>
        <w:t xml:space="preserve">Format: </w:t>
      </w:r>
      <w:r>
        <w:rPr>
          <w:rFonts w:ascii="Arial" w:hAnsi="Arial"/>
          <w:sz w:val="22"/>
        </w:rPr>
        <w:t>Markdown report with structured findings, decision trees, and prioritized recommendations for downstream ASO design.</w:t>
      </w:r>
    </w:p>
    <w:p>
      <w:pPr>
        <w:spacing w:after="20" w:line="360" w:lineRule="auto"/>
      </w:pPr>
      <w:r>
        <w:rPr>
          <w:rFonts w:ascii="Arial" w:hAnsi="Arial"/>
          <w:sz w:val="22"/>
        </w:rPr>
      </w:r>
    </w:p>
    <w:p>
      <w:pPr>
        <w:pStyle w:val="Heading2"/>
      </w:pPr>
      <w:r>
        <w:rPr>
          <w:rFonts w:ascii="Arial" w:hAnsi="Arial"/>
          <w:b/>
          <w:sz w:val="28"/>
        </w:rPr>
        <w:t>Stage 3: Cross-Gene Rescue Phenotype Comparison</w:t>
      </w:r>
    </w:p>
    <w:p>
      <w:pPr>
        <w:spacing w:after="20" w:line="360" w:lineRule="auto"/>
      </w:pPr>
      <w:r>
        <w:rPr>
          <w:rFonts w:ascii="Arial" w:hAnsi="Arial"/>
          <w:b/>
          <w:sz w:val="22"/>
        </w:rPr>
        <w:t xml:space="preserve">Purpose: </w:t>
      </w:r>
      <w:r>
        <w:rPr>
          <w:rFonts w:ascii="Arial" w:hAnsi="Arial"/>
          <w:sz w:val="22"/>
        </w:rPr>
        <w:t>Assess cross-gene rescue phenotype comparison to identify potential design constraints and opportunities for optimized ASO selection.</w:t>
      </w:r>
    </w:p>
    <w:p>
      <w:pPr>
        <w:spacing w:after="10" w:line="360" w:lineRule="auto"/>
      </w:pPr>
      <w:r>
        <w:rPr>
          <w:rFonts w:ascii="Arial" w:hAnsi="Arial"/>
          <w:b/>
          <w:sz w:val="22"/>
        </w:rPr>
        <w:t>Inputs:</w:t>
      </w:r>
    </w:p>
    <w:p>
      <w:pPr>
        <w:pStyle w:val="ListBullet"/>
        <w:spacing w:after="10" w:line="360" w:lineRule="auto"/>
      </w:pPr>
      <w:r>
        <w:t>Gene or pathway identifier and clinical phenotype</w:t>
      </w:r>
    </w:p>
    <w:p>
      <w:pPr>
        <w:pStyle w:val="ListBullet"/>
        <w:spacing w:after="10" w:line="360" w:lineRule="auto"/>
      </w:pPr>
      <w:r>
        <w:t>Relevant databases (ClinVar, OMIM, Quiver atlas)</w:t>
      </w:r>
    </w:p>
    <w:p>
      <w:pPr>
        <w:pStyle w:val="ListBullet"/>
        <w:spacing w:after="10" w:line="360" w:lineRule="auto"/>
      </w:pPr>
      <w:r>
        <w:t>Prior ASO or genetic intervention studies</w:t>
      </w:r>
    </w:p>
    <w:p>
      <w:pPr>
        <w:pStyle w:val="ListBullet"/>
        <w:spacing w:after="10" w:line="360" w:lineRule="auto"/>
      </w:pPr>
      <w:r>
        <w:t>Neuronal phenotype and functional readouts</w:t>
      </w:r>
    </w:p>
    <w:p>
      <w:pPr>
        <w:pStyle w:val="ListBullet"/>
        <w:spacing w:after="10" w:line="360" w:lineRule="auto"/>
      </w:pPr>
      <w:r>
        <w:t>Patient or model organism outcome data</w:t>
      </w:r>
    </w:p>
    <w:p>
      <w:pPr>
        <w:spacing w:after="20" w:line="360" w:lineRule="auto"/>
      </w:pPr>
      <w:r>
        <w:rPr>
          <w:rFonts w:ascii="Arial" w:hAnsi="Arial"/>
          <w:sz w:val="22"/>
        </w:rPr>
      </w:r>
    </w:p>
    <w:p>
      <w:pPr>
        <w:spacing w:after="10" w:line="360" w:lineRule="auto"/>
      </w:pPr>
      <w:r>
        <w:rPr>
          <w:rFonts w:ascii="Arial" w:hAnsi="Arial"/>
          <w:b/>
          <w:sz w:val="22"/>
        </w:rPr>
        <w:t>Tools &amp; Databases Called:</w:t>
      </w:r>
    </w:p>
    <w:p>
      <w:pPr>
        <w:pStyle w:val="ListBullet"/>
        <w:spacing w:after="10" w:line="360" w:lineRule="auto"/>
      </w:pPr>
      <w:r>
        <w:t>ClinVar, OMIM, UniProt variant databases</w:t>
      </w:r>
    </w:p>
    <w:p>
      <w:pPr>
        <w:pStyle w:val="ListBullet"/>
        <w:spacing w:after="10" w:line="360" w:lineRule="auto"/>
      </w:pPr>
      <w:r>
        <w:t>Quiver electrophysiology CRISPR atlas</w:t>
      </w:r>
    </w:p>
    <w:p>
      <w:pPr>
        <w:pStyle w:val="ListBullet"/>
        <w:spacing w:after="10" w:line="360" w:lineRule="auto"/>
      </w:pPr>
      <w:r>
        <w:t>Custom gene expression and phenotype mapping</w:t>
      </w:r>
    </w:p>
    <w:p>
      <w:pPr>
        <w:pStyle w:val="ListBullet"/>
        <w:spacing w:after="10" w:line="360" w:lineRule="auto"/>
      </w:pPr>
      <w:r>
        <w:t>Patent search platforms (Google Patents, Espacenet)</w:t>
      </w:r>
    </w:p>
    <w:p>
      <w:pPr>
        <w:pStyle w:val="ListBullet"/>
        <w:spacing w:after="10" w:line="360" w:lineRule="auto"/>
      </w:pPr>
      <w:r>
        <w:t>Bioinformatic sequence alignment tools</w:t>
      </w:r>
    </w:p>
    <w:p>
      <w:pPr>
        <w:pStyle w:val="ListBullet"/>
        <w:spacing w:after="10" w:line="360" w:lineRule="auto"/>
      </w:pPr>
      <w:r>
        <w:t>Statistical correlation and clustering algorithms</w:t>
      </w:r>
    </w:p>
    <w:p>
      <w:pPr>
        <w:spacing w:after="20" w:line="360" w:lineRule="auto"/>
      </w:pPr>
      <w:r>
        <w:rPr>
          <w:rFonts w:ascii="Arial" w:hAnsi="Arial"/>
          <w:sz w:val="22"/>
        </w:rPr>
      </w:r>
    </w:p>
    <w:p>
      <w:pPr>
        <w:spacing w:after="10" w:line="360" w:lineRule="auto"/>
      </w:pPr>
      <w:r>
        <w:rPr>
          <w:rFonts w:ascii="Arial" w:hAnsi="Arial"/>
          <w:b/>
          <w:sz w:val="22"/>
        </w:rPr>
        <w:t>Exemplary Sub-Prompts:</w:t>
      </w:r>
    </w:p>
    <w:p>
      <w:pPr>
        <w:pStyle w:val="ListBullet"/>
        <w:spacing w:after="10" w:line="360" w:lineRule="auto"/>
      </w:pPr>
      <w:r>
        <w:t>What are the top 10 disease-associated variants in this gene?</w:t>
      </w:r>
    </w:p>
    <w:p>
      <w:pPr>
        <w:pStyle w:val="ListBullet"/>
        <w:spacing w:after="10" w:line="360" w:lineRule="auto"/>
      </w:pPr>
      <w:r>
        <w:t>How do knockdown levels correlate with rescue outcomes?</w:t>
      </w:r>
    </w:p>
    <w:p>
      <w:pPr>
        <w:pStyle w:val="ListBullet"/>
        <w:spacing w:after="10" w:line="360" w:lineRule="auto"/>
      </w:pPr>
      <w:r>
        <w:t>Which tissues or cell types show critical gene expression?</w:t>
      </w:r>
    </w:p>
    <w:p>
      <w:pPr>
        <w:pStyle w:val="ListBullet"/>
        <w:spacing w:after="10" w:line="360" w:lineRule="auto"/>
      </w:pPr>
      <w:r>
        <w:t>What is the minimal effective ASO concentration?</w:t>
      </w:r>
    </w:p>
    <w:p>
      <w:pPr>
        <w:pStyle w:val="ListBullet"/>
        <w:spacing w:after="10" w:line="360" w:lineRule="auto"/>
      </w:pPr>
      <w:r>
        <w:t>Are there published safety or off-target concerns?</w:t>
      </w:r>
    </w:p>
    <w:p>
      <w:pPr>
        <w:spacing w:after="20" w:line="360" w:lineRule="auto"/>
      </w:pPr>
      <w:r>
        <w:rPr>
          <w:rFonts w:ascii="Arial" w:hAnsi="Arial"/>
          <w:sz w:val="22"/>
        </w:rPr>
      </w:r>
    </w:p>
    <w:p>
      <w:pPr>
        <w:spacing w:after="10" w:line="360" w:lineRule="auto"/>
      </w:pPr>
      <w:r>
        <w:rPr>
          <w:rFonts w:ascii="Arial" w:hAnsi="Arial"/>
          <w:b/>
          <w:sz w:val="22"/>
        </w:rPr>
        <w:t>Expected Outputs:</w:t>
      </w:r>
    </w:p>
    <w:p>
      <w:pPr>
        <w:pStyle w:val="ListBullet"/>
        <w:spacing w:after="10" w:line="360" w:lineRule="auto"/>
      </w:pPr>
      <w:r>
        <w:t>Comprehensive variant-phenotype association report</w:t>
      </w:r>
    </w:p>
    <w:p>
      <w:pPr>
        <w:pStyle w:val="ListBullet"/>
        <w:spacing w:after="10" w:line="360" w:lineRule="auto"/>
      </w:pPr>
      <w:r>
        <w:t>Dose-response curves and rescue thresholds</w:t>
      </w:r>
    </w:p>
    <w:p>
      <w:pPr>
        <w:pStyle w:val="ListBullet"/>
        <w:spacing w:after="10" w:line="360" w:lineRule="auto"/>
      </w:pPr>
      <w:r>
        <w:t>Selectivity and tissue distribution summary</w:t>
      </w:r>
    </w:p>
    <w:p>
      <w:pPr>
        <w:pStyle w:val="ListBullet"/>
        <w:spacing w:after="10" w:line="360" w:lineRule="auto"/>
      </w:pPr>
      <w:r>
        <w:t>Patent landscape and freedom-to-operate analysis</w:t>
      </w:r>
    </w:p>
    <w:p>
      <w:pPr>
        <w:pStyle w:val="ListBullet"/>
        <w:spacing w:after="10" w:line="360" w:lineRule="auto"/>
      </w:pPr>
      <w:r>
        <w:t>Recommended ASO design specifications</w:t>
      </w:r>
    </w:p>
    <w:p>
      <w:pPr>
        <w:pStyle w:val="ListBullet"/>
        <w:spacing w:after="10" w:line="360" w:lineRule="auto"/>
      </w:pPr>
      <w:r>
        <w:t>Timeline and regulatory pathway forecast</w:t>
      </w:r>
    </w:p>
    <w:p>
      <w:pPr>
        <w:spacing w:after="20" w:line="360" w:lineRule="auto"/>
      </w:pPr>
      <w:r>
        <w:rPr>
          <w:rFonts w:ascii="Arial" w:hAnsi="Arial"/>
          <w:sz w:val="22"/>
        </w:rPr>
      </w:r>
    </w:p>
    <w:p>
      <w:pPr>
        <w:spacing w:after="20" w:line="360" w:lineRule="auto"/>
      </w:pPr>
      <w:r>
        <w:rPr>
          <w:rFonts w:ascii="Arial" w:hAnsi="Arial"/>
          <w:b/>
          <w:sz w:val="22"/>
        </w:rPr>
        <w:t xml:space="preserve">Format: </w:t>
      </w:r>
      <w:r>
        <w:rPr>
          <w:rFonts w:ascii="Arial" w:hAnsi="Arial"/>
          <w:sz w:val="22"/>
        </w:rPr>
        <w:t>Markdown report with structured findings, decision trees, and prioritized recommendations for downstream ASO design.</w:t>
      </w:r>
    </w:p>
    <w:p>
      <w:pPr>
        <w:spacing w:after="20" w:line="360" w:lineRule="auto"/>
      </w:pPr>
      <w:r>
        <w:rPr>
          <w:rFonts w:ascii="Arial" w:hAnsi="Arial"/>
          <w:sz w:val="22"/>
        </w:rPr>
      </w:r>
    </w:p>
    <w:p>
      <w:pPr>
        <w:pStyle w:val="Heading2"/>
      </w:pPr>
      <w:r>
        <w:rPr>
          <w:rFonts w:ascii="Arial" w:hAnsi="Arial"/>
          <w:b/>
          <w:sz w:val="28"/>
        </w:rPr>
        <w:t>Stage 4: Sequence Similarity and Off-Target Assessment</w:t>
      </w:r>
    </w:p>
    <w:p>
      <w:pPr>
        <w:spacing w:after="20" w:line="360" w:lineRule="auto"/>
      </w:pPr>
      <w:r>
        <w:rPr>
          <w:rFonts w:ascii="Arial" w:hAnsi="Arial"/>
          <w:b/>
          <w:sz w:val="22"/>
        </w:rPr>
        <w:t xml:space="preserve">Purpose: </w:t>
      </w:r>
      <w:r>
        <w:rPr>
          <w:rFonts w:ascii="Arial" w:hAnsi="Arial"/>
          <w:sz w:val="22"/>
        </w:rPr>
        <w:t>Assess sequence similarity and off-target assessment to identify potential design constraints and opportunities for optimized ASO selection.</w:t>
      </w:r>
    </w:p>
    <w:p>
      <w:pPr>
        <w:spacing w:after="10" w:line="360" w:lineRule="auto"/>
      </w:pPr>
      <w:r>
        <w:rPr>
          <w:rFonts w:ascii="Arial" w:hAnsi="Arial"/>
          <w:b/>
          <w:sz w:val="22"/>
        </w:rPr>
        <w:t>Inputs:</w:t>
      </w:r>
    </w:p>
    <w:p>
      <w:pPr>
        <w:pStyle w:val="ListBullet"/>
        <w:spacing w:after="10" w:line="360" w:lineRule="auto"/>
      </w:pPr>
      <w:r>
        <w:t>Gene or pathway identifier and clinical phenotype</w:t>
      </w:r>
    </w:p>
    <w:p>
      <w:pPr>
        <w:pStyle w:val="ListBullet"/>
        <w:spacing w:after="10" w:line="360" w:lineRule="auto"/>
      </w:pPr>
      <w:r>
        <w:t>Relevant databases (ClinVar, OMIM, Quiver atlas)</w:t>
      </w:r>
    </w:p>
    <w:p>
      <w:pPr>
        <w:pStyle w:val="ListBullet"/>
        <w:spacing w:after="10" w:line="360" w:lineRule="auto"/>
      </w:pPr>
      <w:r>
        <w:t>Prior ASO or genetic intervention studies</w:t>
      </w:r>
    </w:p>
    <w:p>
      <w:pPr>
        <w:pStyle w:val="ListBullet"/>
        <w:spacing w:after="10" w:line="360" w:lineRule="auto"/>
      </w:pPr>
      <w:r>
        <w:t>Neuronal phenotype and functional readouts</w:t>
      </w:r>
    </w:p>
    <w:p>
      <w:pPr>
        <w:pStyle w:val="ListBullet"/>
        <w:spacing w:after="10" w:line="360" w:lineRule="auto"/>
      </w:pPr>
      <w:r>
        <w:t>Patient or model organism outcome data</w:t>
      </w:r>
    </w:p>
    <w:p>
      <w:pPr>
        <w:spacing w:after="20" w:line="360" w:lineRule="auto"/>
      </w:pPr>
      <w:r>
        <w:rPr>
          <w:rFonts w:ascii="Arial" w:hAnsi="Arial"/>
          <w:sz w:val="22"/>
        </w:rPr>
      </w:r>
    </w:p>
    <w:p>
      <w:pPr>
        <w:spacing w:after="10" w:line="360" w:lineRule="auto"/>
      </w:pPr>
      <w:r>
        <w:rPr>
          <w:rFonts w:ascii="Arial" w:hAnsi="Arial"/>
          <w:b/>
          <w:sz w:val="22"/>
        </w:rPr>
        <w:t>Tools &amp; Databases Called:</w:t>
      </w:r>
    </w:p>
    <w:p>
      <w:pPr>
        <w:pStyle w:val="ListBullet"/>
        <w:spacing w:after="10" w:line="360" w:lineRule="auto"/>
      </w:pPr>
      <w:r>
        <w:t>ClinVar, OMIM, UniProt variant databases</w:t>
      </w:r>
    </w:p>
    <w:p>
      <w:pPr>
        <w:pStyle w:val="ListBullet"/>
        <w:spacing w:after="10" w:line="360" w:lineRule="auto"/>
      </w:pPr>
      <w:r>
        <w:t>Quiver electrophysiology CRISPR atlas</w:t>
      </w:r>
    </w:p>
    <w:p>
      <w:pPr>
        <w:pStyle w:val="ListBullet"/>
        <w:spacing w:after="10" w:line="360" w:lineRule="auto"/>
      </w:pPr>
      <w:r>
        <w:t>Custom gene expression and phenotype mapping</w:t>
      </w:r>
    </w:p>
    <w:p>
      <w:pPr>
        <w:pStyle w:val="ListBullet"/>
        <w:spacing w:after="10" w:line="360" w:lineRule="auto"/>
      </w:pPr>
      <w:r>
        <w:t>Patent search platforms (Google Patents, Espacenet)</w:t>
      </w:r>
    </w:p>
    <w:p>
      <w:pPr>
        <w:pStyle w:val="ListBullet"/>
        <w:spacing w:after="10" w:line="360" w:lineRule="auto"/>
      </w:pPr>
      <w:r>
        <w:t>Bioinformatic sequence alignment tools</w:t>
      </w:r>
    </w:p>
    <w:p>
      <w:pPr>
        <w:pStyle w:val="ListBullet"/>
        <w:spacing w:after="10" w:line="360" w:lineRule="auto"/>
      </w:pPr>
      <w:r>
        <w:t>Statistical correlation and clustering algorithms</w:t>
      </w:r>
    </w:p>
    <w:p>
      <w:pPr>
        <w:spacing w:after="20" w:line="360" w:lineRule="auto"/>
      </w:pPr>
      <w:r>
        <w:rPr>
          <w:rFonts w:ascii="Arial" w:hAnsi="Arial"/>
          <w:sz w:val="22"/>
        </w:rPr>
      </w:r>
    </w:p>
    <w:p>
      <w:pPr>
        <w:spacing w:after="10" w:line="360" w:lineRule="auto"/>
      </w:pPr>
      <w:r>
        <w:rPr>
          <w:rFonts w:ascii="Arial" w:hAnsi="Arial"/>
          <w:b/>
          <w:sz w:val="22"/>
        </w:rPr>
        <w:t>Exemplary Sub-Prompts:</w:t>
      </w:r>
    </w:p>
    <w:p>
      <w:pPr>
        <w:pStyle w:val="ListBullet"/>
        <w:spacing w:after="10" w:line="360" w:lineRule="auto"/>
      </w:pPr>
      <w:r>
        <w:t>What are the top 10 disease-associated variants in this gene?</w:t>
      </w:r>
    </w:p>
    <w:p>
      <w:pPr>
        <w:pStyle w:val="ListBullet"/>
        <w:spacing w:after="10" w:line="360" w:lineRule="auto"/>
      </w:pPr>
      <w:r>
        <w:t>How do knockdown levels correlate with rescue outcomes?</w:t>
      </w:r>
    </w:p>
    <w:p>
      <w:pPr>
        <w:pStyle w:val="ListBullet"/>
        <w:spacing w:after="10" w:line="360" w:lineRule="auto"/>
      </w:pPr>
      <w:r>
        <w:t>Which tissues or cell types show critical gene expression?</w:t>
      </w:r>
    </w:p>
    <w:p>
      <w:pPr>
        <w:pStyle w:val="ListBullet"/>
        <w:spacing w:after="10" w:line="360" w:lineRule="auto"/>
      </w:pPr>
      <w:r>
        <w:t>What is the minimal effective ASO concentration?</w:t>
      </w:r>
    </w:p>
    <w:p>
      <w:pPr>
        <w:pStyle w:val="ListBullet"/>
        <w:spacing w:after="10" w:line="360" w:lineRule="auto"/>
      </w:pPr>
      <w:r>
        <w:t>Are there published safety or off-target concerns?</w:t>
      </w:r>
    </w:p>
    <w:p>
      <w:pPr>
        <w:spacing w:after="20" w:line="360" w:lineRule="auto"/>
      </w:pPr>
      <w:r>
        <w:rPr>
          <w:rFonts w:ascii="Arial" w:hAnsi="Arial"/>
          <w:sz w:val="22"/>
        </w:rPr>
      </w:r>
    </w:p>
    <w:p>
      <w:pPr>
        <w:spacing w:after="10" w:line="360" w:lineRule="auto"/>
      </w:pPr>
      <w:r>
        <w:rPr>
          <w:rFonts w:ascii="Arial" w:hAnsi="Arial"/>
          <w:b/>
          <w:sz w:val="22"/>
        </w:rPr>
        <w:t>Expected Outputs:</w:t>
      </w:r>
    </w:p>
    <w:p>
      <w:pPr>
        <w:pStyle w:val="ListBullet"/>
        <w:spacing w:after="10" w:line="360" w:lineRule="auto"/>
      </w:pPr>
      <w:r>
        <w:t>Comprehensive variant-phenotype association report</w:t>
      </w:r>
    </w:p>
    <w:p>
      <w:pPr>
        <w:pStyle w:val="ListBullet"/>
        <w:spacing w:after="10" w:line="360" w:lineRule="auto"/>
      </w:pPr>
      <w:r>
        <w:t>Dose-response curves and rescue thresholds</w:t>
      </w:r>
    </w:p>
    <w:p>
      <w:pPr>
        <w:pStyle w:val="ListBullet"/>
        <w:spacing w:after="10" w:line="360" w:lineRule="auto"/>
      </w:pPr>
      <w:r>
        <w:t>Selectivity and tissue distribution summary</w:t>
      </w:r>
    </w:p>
    <w:p>
      <w:pPr>
        <w:pStyle w:val="ListBullet"/>
        <w:spacing w:after="10" w:line="360" w:lineRule="auto"/>
      </w:pPr>
      <w:r>
        <w:t>Patent landscape and freedom-to-operate analysis</w:t>
      </w:r>
    </w:p>
    <w:p>
      <w:pPr>
        <w:pStyle w:val="ListBullet"/>
        <w:spacing w:after="10" w:line="360" w:lineRule="auto"/>
      </w:pPr>
      <w:r>
        <w:t>Recommended ASO design specifications</w:t>
      </w:r>
    </w:p>
    <w:p>
      <w:pPr>
        <w:pStyle w:val="ListBullet"/>
        <w:spacing w:after="10" w:line="360" w:lineRule="auto"/>
      </w:pPr>
      <w:r>
        <w:t>Timeline and regulatory pathway forecast</w:t>
      </w:r>
    </w:p>
    <w:p>
      <w:pPr>
        <w:spacing w:after="20" w:line="360" w:lineRule="auto"/>
      </w:pPr>
      <w:r>
        <w:rPr>
          <w:rFonts w:ascii="Arial" w:hAnsi="Arial"/>
          <w:sz w:val="22"/>
        </w:rPr>
      </w:r>
    </w:p>
    <w:p>
      <w:pPr>
        <w:spacing w:after="20" w:line="360" w:lineRule="auto"/>
      </w:pPr>
      <w:r>
        <w:rPr>
          <w:rFonts w:ascii="Arial" w:hAnsi="Arial"/>
          <w:b/>
          <w:sz w:val="22"/>
        </w:rPr>
        <w:t xml:space="preserve">Format: </w:t>
      </w:r>
      <w:r>
        <w:rPr>
          <w:rFonts w:ascii="Arial" w:hAnsi="Arial"/>
          <w:sz w:val="22"/>
        </w:rPr>
        <w:t>Markdown report with structured findings, decision trees, and prioritized recommendations for downstream ASO design.</w:t>
      </w:r>
    </w:p>
    <w:p>
      <w:pPr>
        <w:spacing w:after="20" w:line="360" w:lineRule="auto"/>
      </w:pPr>
      <w:r>
        <w:rPr>
          <w:rFonts w:ascii="Arial" w:hAnsi="Arial"/>
          <w:sz w:val="22"/>
        </w:rPr>
      </w:r>
    </w:p>
    <w:p>
      <w:pPr>
        <w:pStyle w:val="Heading2"/>
      </w:pPr>
      <w:r>
        <w:rPr>
          <w:rFonts w:ascii="Arial" w:hAnsi="Arial"/>
          <w:b/>
          <w:sz w:val="28"/>
        </w:rPr>
        <w:t>Stage 5: Multi-Gene Targeting Feasibility</w:t>
      </w:r>
    </w:p>
    <w:p>
      <w:pPr>
        <w:spacing w:after="20" w:line="360" w:lineRule="auto"/>
      </w:pPr>
      <w:r>
        <w:rPr>
          <w:rFonts w:ascii="Arial" w:hAnsi="Arial"/>
          <w:b/>
          <w:sz w:val="22"/>
        </w:rPr>
        <w:t xml:space="preserve">Purpose: </w:t>
      </w:r>
      <w:r>
        <w:rPr>
          <w:rFonts w:ascii="Arial" w:hAnsi="Arial"/>
          <w:sz w:val="22"/>
        </w:rPr>
        <w:t>Assess multi-gene targeting feasibility to identify potential design constraints and opportunities for optimized ASO selection.</w:t>
      </w:r>
    </w:p>
    <w:p>
      <w:pPr>
        <w:spacing w:after="10" w:line="360" w:lineRule="auto"/>
      </w:pPr>
      <w:r>
        <w:rPr>
          <w:rFonts w:ascii="Arial" w:hAnsi="Arial"/>
          <w:b/>
          <w:sz w:val="22"/>
        </w:rPr>
        <w:t>Inputs:</w:t>
      </w:r>
    </w:p>
    <w:p>
      <w:pPr>
        <w:pStyle w:val="ListBullet"/>
        <w:spacing w:after="10" w:line="360" w:lineRule="auto"/>
      </w:pPr>
      <w:r>
        <w:t>Gene or pathway identifier and clinical phenotype</w:t>
      </w:r>
    </w:p>
    <w:p>
      <w:pPr>
        <w:pStyle w:val="ListBullet"/>
        <w:spacing w:after="10" w:line="360" w:lineRule="auto"/>
      </w:pPr>
      <w:r>
        <w:t>Relevant databases (ClinVar, OMIM, Quiver atlas)</w:t>
      </w:r>
    </w:p>
    <w:p>
      <w:pPr>
        <w:pStyle w:val="ListBullet"/>
        <w:spacing w:after="10" w:line="360" w:lineRule="auto"/>
      </w:pPr>
      <w:r>
        <w:t>Prior ASO or genetic intervention studies</w:t>
      </w:r>
    </w:p>
    <w:p>
      <w:pPr>
        <w:pStyle w:val="ListBullet"/>
        <w:spacing w:after="10" w:line="360" w:lineRule="auto"/>
      </w:pPr>
      <w:r>
        <w:t>Neuronal phenotype and functional readouts</w:t>
      </w:r>
    </w:p>
    <w:p>
      <w:pPr>
        <w:pStyle w:val="ListBullet"/>
        <w:spacing w:after="10" w:line="360" w:lineRule="auto"/>
      </w:pPr>
      <w:r>
        <w:t>Patient or model organism outcome data</w:t>
      </w:r>
    </w:p>
    <w:p>
      <w:pPr>
        <w:spacing w:after="20" w:line="360" w:lineRule="auto"/>
      </w:pPr>
      <w:r>
        <w:rPr>
          <w:rFonts w:ascii="Arial" w:hAnsi="Arial"/>
          <w:sz w:val="22"/>
        </w:rPr>
      </w:r>
    </w:p>
    <w:p>
      <w:pPr>
        <w:spacing w:after="10" w:line="360" w:lineRule="auto"/>
      </w:pPr>
      <w:r>
        <w:rPr>
          <w:rFonts w:ascii="Arial" w:hAnsi="Arial"/>
          <w:b/>
          <w:sz w:val="22"/>
        </w:rPr>
        <w:t>Tools &amp; Databases Called:</w:t>
      </w:r>
    </w:p>
    <w:p>
      <w:pPr>
        <w:pStyle w:val="ListBullet"/>
        <w:spacing w:after="10" w:line="360" w:lineRule="auto"/>
      </w:pPr>
      <w:r>
        <w:t>ClinVar, OMIM, UniProt variant databases</w:t>
      </w:r>
    </w:p>
    <w:p>
      <w:pPr>
        <w:pStyle w:val="ListBullet"/>
        <w:spacing w:after="10" w:line="360" w:lineRule="auto"/>
      </w:pPr>
      <w:r>
        <w:t>Quiver electrophysiology CRISPR atlas</w:t>
      </w:r>
    </w:p>
    <w:p>
      <w:pPr>
        <w:pStyle w:val="ListBullet"/>
        <w:spacing w:after="10" w:line="360" w:lineRule="auto"/>
      </w:pPr>
      <w:r>
        <w:t>Custom gene expression and phenotype mapping</w:t>
      </w:r>
    </w:p>
    <w:p>
      <w:pPr>
        <w:pStyle w:val="ListBullet"/>
        <w:spacing w:after="10" w:line="360" w:lineRule="auto"/>
      </w:pPr>
      <w:r>
        <w:t>Patent search platforms (Google Patents, Espacenet)</w:t>
      </w:r>
    </w:p>
    <w:p>
      <w:pPr>
        <w:pStyle w:val="ListBullet"/>
        <w:spacing w:after="10" w:line="360" w:lineRule="auto"/>
      </w:pPr>
      <w:r>
        <w:t>Bioinformatic sequence alignment tools</w:t>
      </w:r>
    </w:p>
    <w:p>
      <w:pPr>
        <w:pStyle w:val="ListBullet"/>
        <w:spacing w:after="10" w:line="360" w:lineRule="auto"/>
      </w:pPr>
      <w:r>
        <w:t>Statistical correlation and clustering algorithms</w:t>
      </w:r>
    </w:p>
    <w:p>
      <w:pPr>
        <w:spacing w:after="20" w:line="360" w:lineRule="auto"/>
      </w:pPr>
      <w:r>
        <w:rPr>
          <w:rFonts w:ascii="Arial" w:hAnsi="Arial"/>
          <w:sz w:val="22"/>
        </w:rPr>
      </w:r>
    </w:p>
    <w:p>
      <w:pPr>
        <w:spacing w:after="10" w:line="360" w:lineRule="auto"/>
      </w:pPr>
      <w:r>
        <w:rPr>
          <w:rFonts w:ascii="Arial" w:hAnsi="Arial"/>
          <w:b/>
          <w:sz w:val="22"/>
        </w:rPr>
        <w:t>Exemplary Sub-Prompts:</w:t>
      </w:r>
    </w:p>
    <w:p>
      <w:pPr>
        <w:pStyle w:val="ListBullet"/>
        <w:spacing w:after="10" w:line="360" w:lineRule="auto"/>
      </w:pPr>
      <w:r>
        <w:t>What are the top 10 disease-associated variants in this gene?</w:t>
      </w:r>
    </w:p>
    <w:p>
      <w:pPr>
        <w:pStyle w:val="ListBullet"/>
        <w:spacing w:after="10" w:line="360" w:lineRule="auto"/>
      </w:pPr>
      <w:r>
        <w:t>How do knockdown levels correlate with rescue outcomes?</w:t>
      </w:r>
    </w:p>
    <w:p>
      <w:pPr>
        <w:pStyle w:val="ListBullet"/>
        <w:spacing w:after="10" w:line="360" w:lineRule="auto"/>
      </w:pPr>
      <w:r>
        <w:t>Which tissues or cell types show critical gene expression?</w:t>
      </w:r>
    </w:p>
    <w:p>
      <w:pPr>
        <w:pStyle w:val="ListBullet"/>
        <w:spacing w:after="10" w:line="360" w:lineRule="auto"/>
      </w:pPr>
      <w:r>
        <w:t>What is the minimal effective ASO concentration?</w:t>
      </w:r>
    </w:p>
    <w:p>
      <w:pPr>
        <w:pStyle w:val="ListBullet"/>
        <w:spacing w:after="10" w:line="360" w:lineRule="auto"/>
      </w:pPr>
      <w:r>
        <w:t>Are there published safety or off-target concerns?</w:t>
      </w:r>
    </w:p>
    <w:p>
      <w:pPr>
        <w:spacing w:after="20" w:line="360" w:lineRule="auto"/>
      </w:pPr>
      <w:r>
        <w:rPr>
          <w:rFonts w:ascii="Arial" w:hAnsi="Arial"/>
          <w:sz w:val="22"/>
        </w:rPr>
      </w:r>
    </w:p>
    <w:p>
      <w:pPr>
        <w:spacing w:after="10" w:line="360" w:lineRule="auto"/>
      </w:pPr>
      <w:r>
        <w:rPr>
          <w:rFonts w:ascii="Arial" w:hAnsi="Arial"/>
          <w:b/>
          <w:sz w:val="22"/>
        </w:rPr>
        <w:t>Expected Outputs:</w:t>
      </w:r>
    </w:p>
    <w:p>
      <w:pPr>
        <w:pStyle w:val="ListBullet"/>
        <w:spacing w:after="10" w:line="360" w:lineRule="auto"/>
      </w:pPr>
      <w:r>
        <w:t>Comprehensive variant-phenotype association report</w:t>
      </w:r>
    </w:p>
    <w:p>
      <w:pPr>
        <w:pStyle w:val="ListBullet"/>
        <w:spacing w:after="10" w:line="360" w:lineRule="auto"/>
      </w:pPr>
      <w:r>
        <w:t>Dose-response curves and rescue thresholds</w:t>
      </w:r>
    </w:p>
    <w:p>
      <w:pPr>
        <w:pStyle w:val="ListBullet"/>
        <w:spacing w:after="10" w:line="360" w:lineRule="auto"/>
      </w:pPr>
      <w:r>
        <w:t>Selectivity and tissue distribution summary</w:t>
      </w:r>
    </w:p>
    <w:p>
      <w:pPr>
        <w:pStyle w:val="ListBullet"/>
        <w:spacing w:after="10" w:line="360" w:lineRule="auto"/>
      </w:pPr>
      <w:r>
        <w:t>Patent landscape and freedom-to-operate analysis</w:t>
      </w:r>
    </w:p>
    <w:p>
      <w:pPr>
        <w:pStyle w:val="ListBullet"/>
        <w:spacing w:after="10" w:line="360" w:lineRule="auto"/>
      </w:pPr>
      <w:r>
        <w:t>Recommended ASO design specifications</w:t>
      </w:r>
    </w:p>
    <w:p>
      <w:pPr>
        <w:pStyle w:val="ListBullet"/>
        <w:spacing w:after="10" w:line="360" w:lineRule="auto"/>
      </w:pPr>
      <w:r>
        <w:t>Timeline and regulatory pathway forecast</w:t>
      </w:r>
    </w:p>
    <w:p>
      <w:pPr>
        <w:spacing w:after="20" w:line="360" w:lineRule="auto"/>
      </w:pPr>
      <w:r>
        <w:rPr>
          <w:rFonts w:ascii="Arial" w:hAnsi="Arial"/>
          <w:sz w:val="22"/>
        </w:rPr>
      </w:r>
    </w:p>
    <w:p>
      <w:pPr>
        <w:spacing w:after="20" w:line="360" w:lineRule="auto"/>
      </w:pPr>
      <w:r>
        <w:rPr>
          <w:rFonts w:ascii="Arial" w:hAnsi="Arial"/>
          <w:b/>
          <w:sz w:val="22"/>
        </w:rPr>
        <w:t xml:space="preserve">Format: </w:t>
      </w:r>
      <w:r>
        <w:rPr>
          <w:rFonts w:ascii="Arial" w:hAnsi="Arial"/>
          <w:sz w:val="22"/>
        </w:rPr>
        <w:t>Markdown report with structured findings, decision trees, and prioritized recommendations for downstream ASO design.</w:t>
      </w:r>
    </w:p>
    <w:p>
      <w:pPr>
        <w:spacing w:after="20" w:line="360" w:lineRule="auto"/>
      </w:pPr>
      <w:r>
        <w:rPr>
          <w:rFonts w:ascii="Arial" w:hAnsi="Arial"/>
          <w:sz w:val="22"/>
        </w:rPr>
      </w:r>
    </w:p>
    <w:p>
      <w:pPr>
        <w:pStyle w:val="Heading2"/>
      </w:pPr>
      <w:r>
        <w:rPr>
          <w:rFonts w:ascii="Arial" w:hAnsi="Arial"/>
          <w:b/>
          <w:sz w:val="28"/>
        </w:rPr>
        <w:t>Stage 6: Combination Therapy Design</w:t>
      </w:r>
    </w:p>
    <w:p>
      <w:pPr>
        <w:spacing w:after="20" w:line="360" w:lineRule="auto"/>
      </w:pPr>
      <w:r>
        <w:rPr>
          <w:rFonts w:ascii="Arial" w:hAnsi="Arial"/>
          <w:b/>
          <w:sz w:val="22"/>
        </w:rPr>
        <w:t xml:space="preserve">Purpose: </w:t>
      </w:r>
      <w:r>
        <w:rPr>
          <w:rFonts w:ascii="Arial" w:hAnsi="Arial"/>
          <w:sz w:val="22"/>
        </w:rPr>
        <w:t>Assess combination therapy design to identify potential design constraints and opportunities for optimized ASO selection.</w:t>
      </w:r>
    </w:p>
    <w:p>
      <w:pPr>
        <w:spacing w:after="10" w:line="360" w:lineRule="auto"/>
      </w:pPr>
      <w:r>
        <w:rPr>
          <w:rFonts w:ascii="Arial" w:hAnsi="Arial"/>
          <w:b/>
          <w:sz w:val="22"/>
        </w:rPr>
        <w:t>Inputs:</w:t>
      </w:r>
    </w:p>
    <w:p>
      <w:pPr>
        <w:pStyle w:val="ListBullet"/>
        <w:spacing w:after="10" w:line="360" w:lineRule="auto"/>
      </w:pPr>
      <w:r>
        <w:t>Gene or pathway identifier and clinical phenotype</w:t>
      </w:r>
    </w:p>
    <w:p>
      <w:pPr>
        <w:pStyle w:val="ListBullet"/>
        <w:spacing w:after="10" w:line="360" w:lineRule="auto"/>
      </w:pPr>
      <w:r>
        <w:t>Relevant databases (ClinVar, OMIM, Quiver atlas)</w:t>
      </w:r>
    </w:p>
    <w:p>
      <w:pPr>
        <w:pStyle w:val="ListBullet"/>
        <w:spacing w:after="10" w:line="360" w:lineRule="auto"/>
      </w:pPr>
      <w:r>
        <w:t>Prior ASO or genetic intervention studies</w:t>
      </w:r>
    </w:p>
    <w:p>
      <w:pPr>
        <w:pStyle w:val="ListBullet"/>
        <w:spacing w:after="10" w:line="360" w:lineRule="auto"/>
      </w:pPr>
      <w:r>
        <w:t>Neuronal phenotype and functional readouts</w:t>
      </w:r>
    </w:p>
    <w:p>
      <w:pPr>
        <w:pStyle w:val="ListBullet"/>
        <w:spacing w:after="10" w:line="360" w:lineRule="auto"/>
      </w:pPr>
      <w:r>
        <w:t>Patient or model organism outcome data</w:t>
      </w:r>
    </w:p>
    <w:p>
      <w:pPr>
        <w:spacing w:after="20" w:line="360" w:lineRule="auto"/>
      </w:pPr>
      <w:r>
        <w:rPr>
          <w:rFonts w:ascii="Arial" w:hAnsi="Arial"/>
          <w:sz w:val="22"/>
        </w:rPr>
      </w:r>
    </w:p>
    <w:p>
      <w:pPr>
        <w:spacing w:after="10" w:line="360" w:lineRule="auto"/>
      </w:pPr>
      <w:r>
        <w:rPr>
          <w:rFonts w:ascii="Arial" w:hAnsi="Arial"/>
          <w:b/>
          <w:sz w:val="22"/>
        </w:rPr>
        <w:t>Tools &amp; Databases Called:</w:t>
      </w:r>
    </w:p>
    <w:p>
      <w:pPr>
        <w:pStyle w:val="ListBullet"/>
        <w:spacing w:after="10" w:line="360" w:lineRule="auto"/>
      </w:pPr>
      <w:r>
        <w:t>ClinVar, OMIM, UniProt variant databases</w:t>
      </w:r>
    </w:p>
    <w:p>
      <w:pPr>
        <w:pStyle w:val="ListBullet"/>
        <w:spacing w:after="10" w:line="360" w:lineRule="auto"/>
      </w:pPr>
      <w:r>
        <w:t>Quiver electrophysiology CRISPR atlas</w:t>
      </w:r>
    </w:p>
    <w:p>
      <w:pPr>
        <w:pStyle w:val="ListBullet"/>
        <w:spacing w:after="10" w:line="360" w:lineRule="auto"/>
      </w:pPr>
      <w:r>
        <w:t>Custom gene expression and phenotype mapping</w:t>
      </w:r>
    </w:p>
    <w:p>
      <w:pPr>
        <w:pStyle w:val="ListBullet"/>
        <w:spacing w:after="10" w:line="360" w:lineRule="auto"/>
      </w:pPr>
      <w:r>
        <w:t>Patent search platforms (Google Patents, Espacenet)</w:t>
      </w:r>
    </w:p>
    <w:p>
      <w:pPr>
        <w:pStyle w:val="ListBullet"/>
        <w:spacing w:after="10" w:line="360" w:lineRule="auto"/>
      </w:pPr>
      <w:r>
        <w:t>Bioinformatic sequence alignment tools</w:t>
      </w:r>
    </w:p>
    <w:p>
      <w:pPr>
        <w:pStyle w:val="ListBullet"/>
        <w:spacing w:after="10" w:line="360" w:lineRule="auto"/>
      </w:pPr>
      <w:r>
        <w:t>Statistical correlation and clustering algorithms</w:t>
      </w:r>
    </w:p>
    <w:p>
      <w:pPr>
        <w:spacing w:after="20" w:line="360" w:lineRule="auto"/>
      </w:pPr>
      <w:r>
        <w:rPr>
          <w:rFonts w:ascii="Arial" w:hAnsi="Arial"/>
          <w:sz w:val="22"/>
        </w:rPr>
      </w:r>
    </w:p>
    <w:p>
      <w:pPr>
        <w:spacing w:after="10" w:line="360" w:lineRule="auto"/>
      </w:pPr>
      <w:r>
        <w:rPr>
          <w:rFonts w:ascii="Arial" w:hAnsi="Arial"/>
          <w:b/>
          <w:sz w:val="22"/>
        </w:rPr>
        <w:t>Exemplary Sub-Prompts:</w:t>
      </w:r>
    </w:p>
    <w:p>
      <w:pPr>
        <w:pStyle w:val="ListBullet"/>
        <w:spacing w:after="10" w:line="360" w:lineRule="auto"/>
      </w:pPr>
      <w:r>
        <w:t>What are the top 10 disease-associated variants in this gene?</w:t>
      </w:r>
    </w:p>
    <w:p>
      <w:pPr>
        <w:pStyle w:val="ListBullet"/>
        <w:spacing w:after="10" w:line="360" w:lineRule="auto"/>
      </w:pPr>
      <w:r>
        <w:t>How do knockdown levels correlate with rescue outcomes?</w:t>
      </w:r>
    </w:p>
    <w:p>
      <w:pPr>
        <w:pStyle w:val="ListBullet"/>
        <w:spacing w:after="10" w:line="360" w:lineRule="auto"/>
      </w:pPr>
      <w:r>
        <w:t>Which tissues or cell types show critical gene expression?</w:t>
      </w:r>
    </w:p>
    <w:p>
      <w:pPr>
        <w:pStyle w:val="ListBullet"/>
        <w:spacing w:after="10" w:line="360" w:lineRule="auto"/>
      </w:pPr>
      <w:r>
        <w:t>What is the minimal effective ASO concentration?</w:t>
      </w:r>
    </w:p>
    <w:p>
      <w:pPr>
        <w:pStyle w:val="ListBullet"/>
        <w:spacing w:after="10" w:line="360" w:lineRule="auto"/>
      </w:pPr>
      <w:r>
        <w:t>Are there published safety or off-target concerns?</w:t>
      </w:r>
    </w:p>
    <w:p>
      <w:pPr>
        <w:spacing w:after="20" w:line="360" w:lineRule="auto"/>
      </w:pPr>
      <w:r>
        <w:rPr>
          <w:rFonts w:ascii="Arial" w:hAnsi="Arial"/>
          <w:sz w:val="22"/>
        </w:rPr>
      </w:r>
    </w:p>
    <w:p>
      <w:pPr>
        <w:spacing w:after="10" w:line="360" w:lineRule="auto"/>
      </w:pPr>
      <w:r>
        <w:rPr>
          <w:rFonts w:ascii="Arial" w:hAnsi="Arial"/>
          <w:b/>
          <w:sz w:val="22"/>
        </w:rPr>
        <w:t>Expected Outputs:</w:t>
      </w:r>
    </w:p>
    <w:p>
      <w:pPr>
        <w:pStyle w:val="ListBullet"/>
        <w:spacing w:after="10" w:line="360" w:lineRule="auto"/>
      </w:pPr>
      <w:r>
        <w:t>Comprehensive variant-phenotype association report</w:t>
      </w:r>
    </w:p>
    <w:p>
      <w:pPr>
        <w:pStyle w:val="ListBullet"/>
        <w:spacing w:after="10" w:line="360" w:lineRule="auto"/>
      </w:pPr>
      <w:r>
        <w:t>Dose-response curves and rescue thresholds</w:t>
      </w:r>
    </w:p>
    <w:p>
      <w:pPr>
        <w:pStyle w:val="ListBullet"/>
        <w:spacing w:after="10" w:line="360" w:lineRule="auto"/>
      </w:pPr>
      <w:r>
        <w:t>Selectivity and tissue distribution summary</w:t>
      </w:r>
    </w:p>
    <w:p>
      <w:pPr>
        <w:pStyle w:val="ListBullet"/>
        <w:spacing w:after="10" w:line="360" w:lineRule="auto"/>
      </w:pPr>
      <w:r>
        <w:t>Patent landscape and freedom-to-operate analysis</w:t>
      </w:r>
    </w:p>
    <w:p>
      <w:pPr>
        <w:pStyle w:val="ListBullet"/>
        <w:spacing w:after="10" w:line="360" w:lineRule="auto"/>
      </w:pPr>
      <w:r>
        <w:t>Recommended ASO design specifications</w:t>
      </w:r>
    </w:p>
    <w:p>
      <w:pPr>
        <w:pStyle w:val="ListBullet"/>
        <w:spacing w:after="10" w:line="360" w:lineRule="auto"/>
      </w:pPr>
      <w:r>
        <w:t>Timeline and regulatory pathway forecast</w:t>
      </w:r>
    </w:p>
    <w:p>
      <w:pPr>
        <w:spacing w:after="20" w:line="360" w:lineRule="auto"/>
      </w:pPr>
      <w:r>
        <w:rPr>
          <w:rFonts w:ascii="Arial" w:hAnsi="Arial"/>
          <w:sz w:val="22"/>
        </w:rPr>
      </w:r>
    </w:p>
    <w:p>
      <w:pPr>
        <w:spacing w:after="20" w:line="360" w:lineRule="auto"/>
      </w:pPr>
      <w:r>
        <w:rPr>
          <w:rFonts w:ascii="Arial" w:hAnsi="Arial"/>
          <w:b/>
          <w:sz w:val="22"/>
        </w:rPr>
        <w:t xml:space="preserve">Format: </w:t>
      </w:r>
      <w:r>
        <w:rPr>
          <w:rFonts w:ascii="Arial" w:hAnsi="Arial"/>
          <w:sz w:val="22"/>
        </w:rPr>
        <w:t>Markdown report with structured findings, decision trees, and prioritized recommendations for downstream ASO design.</w:t>
      </w:r>
    </w:p>
    <w:p>
      <w:pPr>
        <w:spacing w:after="20" w:line="360" w:lineRule="auto"/>
      </w:pPr>
      <w:r>
        <w:rPr>
          <w:rFonts w:ascii="Arial" w:hAnsi="Arial"/>
          <w:sz w:val="22"/>
        </w:rPr>
      </w:r>
    </w:p>
    <w:p>
      <w:pPr>
        <w:pStyle w:val="Heading2"/>
      </w:pPr>
      <w:r>
        <w:rPr>
          <w:rFonts w:ascii="Arial" w:hAnsi="Arial"/>
          <w:b/>
          <w:sz w:val="28"/>
        </w:rPr>
        <w:t>Tools &amp; Databases Summary</w:t>
      </w:r>
    </w:p>
    <w:p>
      <w:pPr>
        <w:pStyle w:val="ListBullet"/>
        <w:spacing w:after="10" w:line="360" w:lineRule="auto"/>
      </w:pPr>
      <w:r>
        <w:t>Quiver Bioscience EP CRISPR atlas (~18,000 gene perturbations, ~500 features per neuron)</w:t>
      </w:r>
    </w:p>
    <w:p>
      <w:pPr>
        <w:pStyle w:val="ListBullet"/>
        <w:spacing w:after="10" w:line="360" w:lineRule="auto"/>
      </w:pPr>
      <w:r>
        <w:t>ClinVar variant database (disease-causing variant catalogs)</w:t>
      </w:r>
    </w:p>
    <w:p>
      <w:pPr>
        <w:pStyle w:val="ListBullet"/>
        <w:spacing w:after="10" w:line="360" w:lineRule="auto"/>
      </w:pPr>
      <w:r>
        <w:t>OMIM (Online Mendelian Inheritance in Man) for gene-disease associations</w:t>
      </w:r>
    </w:p>
    <w:p>
      <w:pPr>
        <w:pStyle w:val="ListBullet"/>
        <w:spacing w:after="10" w:line="360" w:lineRule="auto"/>
      </w:pPr>
      <w:r>
        <w:t>Google Patents and Espacenet for intellectual property landscape</w:t>
      </w:r>
    </w:p>
    <w:p>
      <w:pPr>
        <w:pStyle w:val="ListBullet"/>
        <w:spacing w:after="10" w:line="360" w:lineRule="auto"/>
      </w:pPr>
      <w:r>
        <w:t>UniProt for protein structure and functional domain annotations</w:t>
      </w:r>
    </w:p>
    <w:p>
      <w:pPr>
        <w:pStyle w:val="ListBullet"/>
        <w:spacing w:after="10" w:line="360" w:lineRule="auto"/>
      </w:pPr>
      <w:r>
        <w:t>KEGG pathway database for biological context</w:t>
      </w:r>
    </w:p>
    <w:p>
      <w:pPr>
        <w:pStyle w:val="ListBullet"/>
        <w:spacing w:after="10" w:line="360" w:lineRule="auto"/>
      </w:pPr>
      <w:r>
        <w:t>STRING database for protein-protein interactions</w:t>
      </w:r>
    </w:p>
    <w:p>
      <w:pPr>
        <w:pStyle w:val="ListBullet"/>
        <w:spacing w:after="10" w:line="360" w:lineRule="auto"/>
      </w:pPr>
      <w:r>
        <w:t>GTEx for tissue-specific gene expression patterns</w:t>
      </w:r>
    </w:p>
    <w:p>
      <w:pPr>
        <w:pStyle w:val="ListBullet"/>
        <w:spacing w:after="10" w:line="360" w:lineRule="auto"/>
      </w:pPr>
      <w:r>
        <w:t>Custom bioinformatic pipelines for dose-response curve fitting</w:t>
      </w:r>
    </w:p>
    <w:p>
      <w:pPr>
        <w:pStyle w:val="ListBullet"/>
        <w:spacing w:after="10" w:line="360" w:lineRule="auto"/>
      </w:pPr>
      <w:r>
        <w:t>Statistical frameworks for ASO selectivity and safety modeling</w:t>
      </w:r>
    </w:p>
    <w:p>
      <w:pPr>
        <w:pStyle w:val="ListBullet"/>
        <w:spacing w:after="10" w:line="360" w:lineRule="auto"/>
      </w:pPr>
      <w:r>
        <w:t>Brain region/cell type taxonomies from single-cell RNA-seq studies</w:t>
      </w:r>
    </w:p>
    <w:p>
      <w:pPr>
        <w:pStyle w:val="ListBullet"/>
        <w:spacing w:after="10" w:line="360" w:lineRule="auto"/>
      </w:pPr>
      <w:r>
        <w:t>Published ASO clinical trial databases and regulatory guidance</w:t>
      </w:r>
    </w:p>
    <w:p>
      <w:pPr>
        <w:pStyle w:val="ListBullet"/>
        <w:spacing w:after="10" w:line="360" w:lineRule="auto"/>
      </w:pPr>
      <w:r>
        <w:t>Compound perturbation library (~3,500 compounds, Quiver proprietary)</w:t>
      </w:r>
    </w:p>
    <w:p>
      <w:pPr>
        <w:pStyle w:val="ListBullet"/>
        <w:spacing w:after="10" w:line="360" w:lineRule="auto"/>
      </w:pPr>
      <w:r>
        <w:t>Neuronal phenotype standardization frameworks</w:t>
      </w:r>
    </w:p>
    <w:p>
      <w:pPr>
        <w:pStyle w:val="ListBullet"/>
        <w:spacing w:after="10" w:line="360" w:lineRule="auto"/>
      </w:pPr>
      <w:r>
        <w:t>Patent avoidance design software and sequence screening tools</w:t>
      </w:r>
    </w:p>
    <w:sectPr w:rsidR="00FC693F" w:rsidRPr="0006063C" w:rsidSect="00034616">
      <w:pgSz w:w="12240" w:h="15840"/>
      <w:pgMar w:top="816" w:right="816" w:bottom="816" w:left="81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