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240"/>
      </w:pPr>
      <w:r>
        <w:t xml:space="preserve">Sapphire Pipeline Workflow</w:t>
      </w:r>
    </w:p>
    <w:p>
      <w:pPr>
        <w:pStyle w:val="Heading2"/>
        <w:spacing w:before="200" w:after="200"/>
      </w:pPr>
      <w:r>
        <w:t xml:space="preserve">Prompt: What other disease-causing genes produce similar electrophysiological or transcriptomic rescue signatures? Can they be addressed by the same oligos?</w:t>
      </w:r>
    </w:p>
    <w:p>
      <w:pPr>
        <w:spacing w:after="300" w:line="360"/>
        <w:jc w:val="left"/>
      </w:pPr>
      <w:r>
        <w:t xml:space="preserve">This document defines the complete Sapphire pipeline — the sequential stages, tools called, external datasets used, inputs, outputs, and decision logic — required to deliver a valid, actionable answer to this prompt.</w:t>
      </w:r>
    </w:p>
    <w:p>
      <w:pPr>
        <w:pStyle w:val="Heading2"/>
        <w:spacing w:before="200" w:after="200"/>
      </w:pPr>
      <w:r>
        <w:t xml:space="preserve">Pipeline Overview</w:t>
      </w:r>
    </w:p>
    <w:p>
      <w:pPr>
        <w:spacing w:after="300" w:line="360"/>
        <w:jc w:val="left"/>
      </w:pPr>
      <w:r>
        <w:t xml:space="preserve">The Sapphire Pipeline Workflow is a six-stage analytical framework designed to identify disease-causing genes that produce electrophysiological (EP) and transcriptomic rescue signatures convergent with a reference (index) gene. The pipeline leverages high-throughput CRISPR screening data, transcriptomic profiling, biological pathway analysis, and sequence homology assessment to identify opportunities for shared antisense oligonucleotide (ASO) platforms that could address multiple genetic diseases with similar molecular and functional phenotypes. This workflow is critical for portfolio expansion, therapeutic multiplexing, and market-driven discovery in genetic medicine.</w:t>
      </w:r>
    </w:p>
    <w:p>
      <w:pPr>
        <w:spacing w:after="300" w:line="360"/>
        <w:jc w:val="left"/>
      </w:pPr>
      <w:r>
        <w:t xml:space="preserve">Each stage is characterized by specific inputs, tools and databases called, exemplary sub-prompts, expected outputs, and deliverable formats. The pipeline progresses from deep phenotypic characterization of reference genes through progressively broader searches for convergence, then narrows focus on shared molecular targets and commercial feasibility. Decision gates at each stage ensure only high-confidence, actionable candidates advance to downstream stages.</w:t>
      </w:r>
    </w:p>
    <w:p>
      <w:pPr>
        <w:pStyle w:val="Heading2"/>
        <w:spacing w:before="200" w:after="200"/>
      </w:pPr>
      <w:r>
        <w:t xml:space="preserve">Stage 1: Reference EP &amp; Transcriptomic Signature Extraction</w:t>
      </w:r>
    </w:p>
    <w:p>
      <w:pPr>
        <w:spacing w:after="200" w:line="360"/>
        <w:jc w:val="left"/>
      </w:pPr>
      <w:r>
        <w:rPr>
          <w:rFonts w:ascii="Arial" w:cs="Arial" w:eastAsia="Arial" w:hAnsi="Arial"/>
          <w:b/>
          <w:bCs/>
          <w:sz w:val="24"/>
          <w:szCs w:val="24"/>
        </w:rPr>
        <w:t xml:space="preserve">Purpose: </w:t>
      </w:r>
      <w:r>
        <w:rPr>
          <w:rFonts w:ascii="Arial" w:cs="Arial" w:eastAsia="Arial" w:hAnsi="Arial"/>
          <w:sz w:val="24"/>
          <w:szCs w:val="24"/>
        </w:rPr>
        <w:t xml:space="preserve">Extract and normalize the electrophysiological rescue signature and transcriptomic rescue profile for the index gene from Quiver CRISPR screening data. This foundational stage establishes the reference phenotype against which all cross-gene comparisons will be made, ensuring that downstream similarity searches are grounded in robust, reproducible measurements of cell function and gene expression.</w:t>
      </w:r>
    </w:p>
    <w:p>
      <w:pPr>
        <w:spacing w:after="100"/>
        <w:jc w:val="left"/>
      </w:pPr>
      <w:r>
        <w:t xml:space="preserve">Inputs:</w:t>
      </w:r>
    </w:p>
    <w:p>
      <w:pPr>
        <w:spacing w:after="100" w:line="360"/>
        <w:jc w:val="left"/>
      </w:pPr>
      <w:r>
        <w:t xml:space="preserve">Index gene identifier (HGNC symbol, Ensembl ID, or UniProt accession)</w:t>
      </w:r>
    </w:p>
    <w:p>
      <w:pPr>
        <w:spacing w:after="100" w:line="360"/>
        <w:jc w:val="left"/>
      </w:pPr>
      <w:r>
        <w:t xml:space="preserve">Quiver CRISPR EP Atlas dataset containing patch-clamp electrophysiology measurements for the index gene across multiple cell types and differentiation stages</w:t>
      </w:r>
    </w:p>
    <w:p>
      <w:pPr>
        <w:spacing w:after="100" w:line="360"/>
        <w:jc w:val="left"/>
      </w:pPr>
      <w:r>
        <w:t xml:space="preserve">Quiver Transcriptomic Module dataset: RNA-seq counts, normalized expression matrices (TPM, RPKM, or DESeq2-normalized values), biological replicate metadata</w:t>
      </w:r>
    </w:p>
    <w:p>
      <w:pPr>
        <w:spacing w:after="100" w:line="360"/>
        <w:jc w:val="left"/>
      </w:pPr>
      <w:r>
        <w:t xml:space="preserve">Cell type annotation (e.g., iPSC-derived neurons, patient-derived fibroblasts, primary tissue)</w:t>
      </w:r>
    </w:p>
    <w:p>
      <w:pPr>
        <w:spacing w:after="100" w:line="360"/>
        <w:jc w:val="left"/>
      </w:pPr>
      <w:r>
        <w:t xml:space="preserve">Phenotypic rescue criterion: operator and threshold (e.g., 'firing rate &gt; 5 Hz', 'action potential amplitude &gt; 80 mV')</w:t>
      </w:r>
    </w:p>
    <w:p>
      <w:pPr>
        <w:spacing w:after="100"/>
        <w:jc w:val="left"/>
      </w:pPr>
      <w:r>
        <w:t xml:space="preserve">Tools &amp; Databases Called:</w:t>
      </w:r>
    </w:p>
    <w:p>
      <w:pPr>
        <w:spacing w:after="100" w:line="360"/>
        <w:jc w:val="left"/>
      </w:pPr>
      <w:r>
        <w:rPr>
          <w:rFonts w:ascii="Arial" w:cs="Arial" w:eastAsia="Arial" w:hAnsi="Arial"/>
          <w:b/>
          <w:bCs/>
          <w:sz w:val="24"/>
          <w:szCs w:val="24"/>
        </w:rPr>
        <w:t xml:space="preserve">Quiver CRISPR EP Atlas — </w:t>
      </w:r>
      <w:r>
        <w:rPr>
          <w:rFonts w:ascii="Arial" w:cs="Arial" w:eastAsia="Arial" w:hAnsi="Arial"/>
          <w:sz w:val="24"/>
          <w:szCs w:val="24"/>
        </w:rPr>
        <w:t xml:space="preserve">A proprietary, integrated database of electrophysiological measurements obtained via automated patch-clamp recording in CRISPR-perturbed cell lines. Provides high-throughput quantification of firing rate, amplitude, kinetics (rise time, decay time), burst properties, and network synchrony metrics.</w:t>
      </w:r>
    </w:p>
    <w:p>
      <w:pPr>
        <w:spacing w:after="100" w:line="360"/>
        <w:jc w:val="left"/>
      </w:pPr>
      <w:r>
        <w:rPr>
          <w:rFonts w:ascii="Arial" w:cs="Arial" w:eastAsia="Arial" w:hAnsi="Arial"/>
          <w:b/>
          <w:bCs/>
          <w:sz w:val="24"/>
          <w:szCs w:val="24"/>
        </w:rPr>
        <w:t xml:space="preserve">Quiver Transcriptomic Module — </w:t>
      </w:r>
      <w:r>
        <w:rPr>
          <w:rFonts w:ascii="Arial" w:cs="Arial" w:eastAsia="Arial" w:hAnsi="Arial"/>
          <w:sz w:val="24"/>
          <w:szCs w:val="24"/>
        </w:rPr>
        <w:t xml:space="preserve">A curated repository of bulk and single-cell RNA-seq profiles linked to CRISPR perturbations. Includes DESeq2-normalized counts, batch-corrected expression matrices, and metadata on cell type, passage, differentiation protocol, and disease state.</w:t>
      </w:r>
    </w:p>
    <w:p>
      <w:pPr>
        <w:spacing w:after="100" w:line="360"/>
        <w:jc w:val="left"/>
      </w:pPr>
      <w:r>
        <w:rPr>
          <w:rFonts w:ascii="Arial" w:cs="Arial" w:eastAsia="Arial" w:hAnsi="Arial"/>
          <w:b/>
          <w:bCs/>
          <w:sz w:val="24"/>
          <w:szCs w:val="24"/>
        </w:rPr>
        <w:t xml:space="preserve">Internal EP Feature Extraction Pipeline — </w:t>
      </w:r>
      <w:r>
        <w:rPr>
          <w:rFonts w:ascii="Arial" w:cs="Arial" w:eastAsia="Arial" w:hAnsi="Arial"/>
          <w:sz w:val="24"/>
          <w:szCs w:val="24"/>
        </w:rPr>
        <w:t xml:space="preserve">Custom bioinformatics pipeline that processes raw electrophysiology traces to compute standardized metrics: action potential threshold, resting membrane potential, spontaneous firing rate, inter-spike interval distribution, network burst frequency, and synchronization entropy. Output: normalized feature vectors (z-scored per cell type).</w:t>
      </w:r>
    </w:p>
    <w:p>
      <w:pPr>
        <w:spacing w:after="100" w:line="360"/>
        <w:jc w:val="left"/>
      </w:pPr>
      <w:r>
        <w:rPr>
          <w:rFonts w:ascii="Arial" w:cs="Arial" w:eastAsia="Arial" w:hAnsi="Arial"/>
          <w:b/>
          <w:bCs/>
          <w:sz w:val="24"/>
          <w:szCs w:val="24"/>
        </w:rPr>
        <w:t xml:space="preserve">DESeq2 (R/Bioconductor) — </w:t>
      </w:r>
      <w:r>
        <w:rPr>
          <w:rFonts w:ascii="Arial" w:cs="Arial" w:eastAsia="Arial" w:hAnsi="Arial"/>
          <w:sz w:val="24"/>
          <w:szCs w:val="24"/>
        </w:rPr>
        <w:t xml:space="preserve">Statistical framework for differential expression analysis. Normalizes RNA-seq counts, computes log-fold-changes and significance tests (Benjamini-Hochberg FDR correction), and generates normalized expression matrices suitable for downstream similarity metrics.</w:t>
      </w:r>
    </w:p>
    <w:p>
      <w:pPr>
        <w:spacing w:after="100" w:line="360"/>
        <w:jc w:val="left"/>
      </w:pPr>
      <w:r>
        <w:rPr>
          <w:rFonts w:ascii="Arial" w:cs="Arial" w:eastAsia="Arial" w:hAnsi="Arial"/>
          <w:b/>
          <w:bCs/>
          <w:sz w:val="24"/>
          <w:szCs w:val="24"/>
        </w:rPr>
        <w:t xml:space="preserve">igv.js / Custom Visualization — </w:t>
      </w:r>
      <w:r>
        <w:rPr>
          <w:rFonts w:ascii="Arial" w:cs="Arial" w:eastAsia="Arial" w:hAnsi="Arial"/>
          <w:sz w:val="24"/>
          <w:szCs w:val="24"/>
        </w:rPr>
        <w:t xml:space="preserve">Generates quick visualizations of EP traces, raster plots of spike timing, heatmaps of gene expression, and quality control plots for manual validation of rescue phenotypes.</w:t>
      </w:r>
    </w:p>
    <w:p>
      <w:pPr>
        <w:spacing w:after="100"/>
        <w:jc w:val="left"/>
      </w:pPr>
      <w:r>
        <w:t xml:space="preserve">Exemplary Sub-Prompts:</w:t>
      </w:r>
    </w:p>
    <w:p>
      <w:pPr>
        <w:spacing w:after="100" w:line="360"/>
        <w:jc w:val="left"/>
      </w:pPr>
      <w:r>
        <w:t xml:space="preserve">'For gene DLG4, extract the AP-induced normalized EP signature for iPSC-derived glutamatergic neurons: provide firing rate, amplitude, kinetics, and network burst metrics with z-scores and confidence intervals.'</w:t>
      </w:r>
    </w:p>
    <w:p>
      <w:pPr>
        <w:spacing w:after="100" w:line="360"/>
        <w:jc w:val="left"/>
      </w:pPr>
      <w:r>
        <w:t xml:space="preserve">'Retrieve the transcriptomic rescue profile for CDKL5 from our Quiver database: quantify log-fold-changes (vs. control) in gene expression for the top 500 differentially expressed genes in CDKL5-corrected neurons.'</w:t>
      </w:r>
    </w:p>
    <w:p>
      <w:pPr>
        <w:spacing w:after="100" w:line="360"/>
        <w:jc w:val="left"/>
      </w:pPr>
      <w:r>
        <w:t xml:space="preserve">'Compute the normalized EP feature vector for PCDH19 using the standardized z-scoring protocol: combine firing rate, spike amplitude, and network synchrony into a single multi-dimensional signature vector.'</w:t>
      </w:r>
    </w:p>
    <w:p>
      <w:pPr>
        <w:spacing w:after="100"/>
        <w:jc w:val="left"/>
      </w:pPr>
      <w:r>
        <w:t xml:space="preserve">Expected Outputs:</w:t>
      </w:r>
    </w:p>
    <w:p>
      <w:pPr>
        <w:spacing w:after="100" w:line="360"/>
        <w:jc w:val="left"/>
      </w:pPr>
      <w:r>
        <w:t xml:space="preserve">Normalized EP signature vector: a high-dimensional feature vector (e.g., 25-50 EP features) for the index gene, z-scored across cell type. Includes point estimates and 95% confidence intervals.</w:t>
      </w:r>
    </w:p>
    <w:p>
      <w:pPr>
        <w:spacing w:after="100" w:line="360"/>
        <w:jc w:val="left"/>
      </w:pPr>
      <w:r>
        <w:t xml:space="preserve">Transcriptomic rescue profile: log-fold-changes (DESeq2) for all expressed genes; top 100-500 significantly up- and down-regulated genes with FDR-corrected p-values.</w:t>
      </w:r>
    </w:p>
    <w:p>
      <w:pPr>
        <w:spacing w:after="100" w:line="360"/>
        <w:jc w:val="left"/>
      </w:pPr>
      <w:r>
        <w:t xml:space="preserve">QC report: cell count, replicate count, batch effects (if any), reproducibility metrics (e.g., R² between replicates, spike-in recovery rate).</w:t>
      </w:r>
    </w:p>
    <w:p>
      <w:pPr>
        <w:spacing w:after="100" w:line="360"/>
        <w:jc w:val="left"/>
      </w:pPr>
      <w:r>
        <w:t xml:space="preserve">Metadata sheet: gene symbol, cell type, rescue criterion met (Yes/No), magnitude of rescue (fold-change), tissue origin, passage number.</w:t>
      </w:r>
    </w:p>
    <w:p>
      <w:pPr>
        <w:spacing w:after="100" w:line="360"/>
        <w:jc w:val="left"/>
      </w:pPr>
      <w:r>
        <w:t xml:space="preserve">Visualization suite: EP trace exemplars, raster plots, gene expression heatmap (top 50 DEGs), histogram of firing rate distribution.</w:t>
      </w:r>
    </w:p>
    <w:p>
      <w:pPr>
        <w:spacing w:after="200" w:line="360"/>
        <w:jc w:val="left"/>
      </w:pPr>
      <w:r>
        <w:rPr>
          <w:rFonts w:ascii="Arial" w:cs="Arial" w:eastAsia="Arial" w:hAnsi="Arial"/>
          <w:b/>
          <w:bCs/>
          <w:sz w:val="24"/>
          <w:szCs w:val="24"/>
        </w:rPr>
        <w:t xml:space="preserve">Format: </w:t>
      </w:r>
      <w:r>
        <w:rPr>
          <w:rFonts w:ascii="Arial" w:cs="Arial" w:eastAsia="Arial" w:hAnsi="Arial"/>
          <w:sz w:val="24"/>
          <w:szCs w:val="24"/>
        </w:rPr>
        <w:t xml:space="preserve">CSV files for numeric feature vectors, TSV for gene expression matrix, PDF for QC and visualization plots, JSON metadata file.</w:t>
      </w:r>
    </w:p>
    <w:p>
      <w:pPr>
        <w:pStyle w:val="Heading2"/>
        <w:spacing w:before="200" w:after="200"/>
      </w:pPr>
      <w:r>
        <w:t xml:space="preserve">Stage 2: Cross-Gene Signature Similarity Search</w:t>
      </w:r>
    </w:p>
    <w:p>
      <w:pPr>
        <w:spacing w:after="200" w:line="360"/>
        <w:jc w:val="left"/>
      </w:pPr>
      <w:r>
        <w:rPr>
          <w:rFonts w:ascii="Arial" w:cs="Arial" w:eastAsia="Arial" w:hAnsi="Arial"/>
          <w:b/>
          <w:bCs/>
          <w:sz w:val="24"/>
          <w:szCs w:val="24"/>
        </w:rPr>
        <w:t xml:space="preserve">Purpose: </w:t>
      </w:r>
      <w:r>
        <w:rPr>
          <w:rFonts w:ascii="Arial" w:cs="Arial" w:eastAsia="Arial" w:hAnsi="Arial"/>
          <w:sz w:val="24"/>
          <w:szCs w:val="24"/>
        </w:rPr>
        <w:t xml:space="preserve">Systematically compare the reference EP and transcriptomic rescue signature against all other genes in the Quiver atlas using multiple similarity metrics. Rank candidate genes by convergence score, identify the most promising cross-gene opportunities, and visually explore the similarity landscape using dimensionality reduction. This stage transforms a single reference signature into a ranked, genome-scale candidate list.</w:t>
      </w:r>
    </w:p>
    <w:p>
      <w:pPr>
        <w:spacing w:after="100"/>
        <w:jc w:val="left"/>
      </w:pPr>
      <w:r>
        <w:t xml:space="preserve">Inputs:</w:t>
      </w:r>
    </w:p>
    <w:p>
      <w:pPr>
        <w:spacing w:after="100" w:line="360"/>
        <w:jc w:val="left"/>
      </w:pPr>
      <w:r>
        <w:t xml:space="preserve">Index gene normalized EP signature vector (from Stage 1)</w:t>
      </w:r>
    </w:p>
    <w:p>
      <w:pPr>
        <w:spacing w:after="100" w:line="360"/>
        <w:jc w:val="left"/>
      </w:pPr>
      <w:r>
        <w:t xml:space="preserve">Index gene transcriptomic rescue profile and top DEG list (from Stage 1)</w:t>
      </w:r>
    </w:p>
    <w:p>
      <w:pPr>
        <w:spacing w:after="100" w:line="360"/>
        <w:jc w:val="left"/>
      </w:pPr>
      <w:r>
        <w:t xml:space="preserve">Complete Quiver EP Atlas: pre-computed normalized EP signature vectors for all ~12,000 genes screened (or relevant gene subset)</w:t>
      </w:r>
    </w:p>
    <w:p>
      <w:pPr>
        <w:spacing w:after="100" w:line="360"/>
        <w:jc w:val="left"/>
      </w:pPr>
      <w:r>
        <w:t xml:space="preserve">Complete Quiver Transcriptomic Correlation Module: pre-computed pairwise gene expression correlation matrix or rapid on-demand correlation calculation</w:t>
      </w:r>
    </w:p>
    <w:p>
      <w:pPr>
        <w:spacing w:after="100" w:line="360"/>
        <w:jc w:val="left"/>
      </w:pPr>
      <w:r>
        <w:t xml:space="preserve">Similarity metric configuration: choice of cosine similarity, Pearson correlation, Euclidean distance, or weighted composite score</w:t>
      </w:r>
    </w:p>
    <w:p>
      <w:pPr>
        <w:spacing w:after="100"/>
        <w:jc w:val="left"/>
      </w:pPr>
      <w:r>
        <w:t xml:space="preserve">Tools &amp; Databases Called:</w:t>
      </w:r>
    </w:p>
    <w:p>
      <w:pPr>
        <w:spacing w:after="100" w:line="360"/>
        <w:jc w:val="left"/>
      </w:pPr>
      <w:r>
        <w:rPr>
          <w:rFonts w:ascii="Arial" w:cs="Arial" w:eastAsia="Arial" w:hAnsi="Arial"/>
          <w:b/>
          <w:bCs/>
          <w:sz w:val="24"/>
          <w:szCs w:val="24"/>
        </w:rPr>
        <w:t xml:space="preserve">Quiver EP Similarity Engine — </w:t>
      </w:r>
      <w:r>
        <w:rPr>
          <w:rFonts w:ascii="Arial" w:cs="Arial" w:eastAsia="Arial" w:hAnsi="Arial"/>
          <w:sz w:val="24"/>
          <w:szCs w:val="24"/>
        </w:rPr>
        <w:t xml:space="preserve">A high-performance index of pre-computed pairwise EP signature similarities across all 12,000+ genes. Rapidly ranks genes by cosine similarity or Euclidean distance. Supports multi-cell-type aggregation and batch-effect-robust metrics. Typical query latency: &lt;1 second for full-genome ranking.</w:t>
      </w:r>
    </w:p>
    <w:p>
      <w:pPr>
        <w:spacing w:after="100" w:line="360"/>
        <w:jc w:val="left"/>
      </w:pPr>
      <w:r>
        <w:rPr>
          <w:rFonts w:ascii="Arial" w:cs="Arial" w:eastAsia="Arial" w:hAnsi="Arial"/>
          <w:b/>
          <w:bCs/>
          <w:sz w:val="24"/>
          <w:szCs w:val="24"/>
        </w:rPr>
        <w:t xml:space="preserve">Quiver Transcriptomic Correlation Module — </w:t>
      </w:r>
      <w:r>
        <w:rPr>
          <w:rFonts w:ascii="Arial" w:cs="Arial" w:eastAsia="Arial" w:hAnsi="Arial"/>
          <w:sz w:val="24"/>
          <w:szCs w:val="24"/>
        </w:rPr>
        <w:t xml:space="preserve">Pre-computed or on-demand Pearson and Spearman correlations between DEG signatures of all gene pairs. Enables rapid filtering for genes with concordant expression changes. Includes confounding-variable controls (e.g., cell stress, differentiation stage).</w:t>
      </w:r>
    </w:p>
    <w:p>
      <w:pPr>
        <w:spacing w:after="100" w:line="360"/>
        <w:jc w:val="left"/>
      </w:pPr>
      <w:r>
        <w:rPr>
          <w:rFonts w:ascii="Arial" w:cs="Arial" w:eastAsia="Arial" w:hAnsi="Arial"/>
          <w:b/>
          <w:bCs/>
          <w:sz w:val="24"/>
          <w:szCs w:val="24"/>
        </w:rPr>
        <w:t xml:space="preserve">scikit-learn (Python) — </w:t>
      </w:r>
      <w:r>
        <w:rPr>
          <w:rFonts w:ascii="Arial" w:cs="Arial" w:eastAsia="Arial" w:hAnsi="Arial"/>
          <w:sz w:val="24"/>
          <w:szCs w:val="24"/>
        </w:rPr>
        <w:t xml:space="preserve">Machine learning library for PCA and UMAP dimensionality reduction. Compresses high-dimensional EP and transcriptomic signatures into 2D/3D visualizations for interpretability and outlier detection. Supports batch-correction and scaling.</w:t>
      </w:r>
    </w:p>
    <w:p>
      <w:pPr>
        <w:spacing w:after="100" w:line="360"/>
        <w:jc w:val="left"/>
      </w:pPr>
      <w:r>
        <w:rPr>
          <w:rFonts w:ascii="Arial" w:cs="Arial" w:eastAsia="Arial" w:hAnsi="Arial"/>
          <w:b/>
          <w:bCs/>
          <w:sz w:val="24"/>
          <w:szCs w:val="24"/>
        </w:rPr>
        <w:t xml:space="preserve">scipy.spatial.distance (Python) — </w:t>
      </w:r>
      <w:r>
        <w:rPr>
          <w:rFonts w:ascii="Arial" w:cs="Arial" w:eastAsia="Arial" w:hAnsi="Arial"/>
          <w:sz w:val="24"/>
          <w:szCs w:val="24"/>
        </w:rPr>
        <w:t xml:space="preserve">Optimized routines for computing pairwise distances: cosine similarity, Euclidean distance, correlation distance. Parallelized for rapid computation across thousands of genes.</w:t>
      </w:r>
    </w:p>
    <w:p>
      <w:pPr>
        <w:spacing w:after="100" w:line="360"/>
        <w:jc w:val="left"/>
      </w:pPr>
      <w:r>
        <w:rPr>
          <w:rFonts w:ascii="Arial" w:cs="Arial" w:eastAsia="Arial" w:hAnsi="Arial"/>
          <w:b/>
          <w:bCs/>
          <w:sz w:val="24"/>
          <w:szCs w:val="24"/>
        </w:rPr>
        <w:t xml:space="preserve">Custom Ranking &amp; Filtering Pipeline — </w:t>
      </w:r>
      <w:r>
        <w:rPr>
          <w:rFonts w:ascii="Arial" w:cs="Arial" w:eastAsia="Arial" w:hAnsi="Arial"/>
          <w:sz w:val="24"/>
          <w:szCs w:val="24"/>
        </w:rPr>
        <w:t xml:space="preserve">Aggregates EP, transcriptomic, and optional biological-knowledge-based similarities into a composite convergence score. Ranks genes and applies optional filters (e.g., 'exclude known pseudogenes', 'include only genes with &gt;100 reads per sample').</w:t>
      </w:r>
    </w:p>
    <w:p>
      <w:pPr>
        <w:spacing w:after="100"/>
        <w:jc w:val="left"/>
      </w:pPr>
      <w:r>
        <w:t xml:space="preserve">Exemplary Sub-Prompts:</w:t>
      </w:r>
    </w:p>
    <w:p>
      <w:pPr>
        <w:spacing w:after="100" w:line="360"/>
        <w:jc w:val="left"/>
      </w:pPr>
      <w:r>
        <w:t xml:space="preserve">'Rank all genes in Quiver by cosine similarity to the DLG4 EP signature. Return top 50 genes with similarity scores and cell-type specificity annotations.'</w:t>
      </w:r>
    </w:p>
    <w:p>
      <w:pPr>
        <w:spacing w:after="100" w:line="360"/>
        <w:jc w:val="left"/>
      </w:pPr>
      <w:r>
        <w:t xml:space="preserve">'Identify genes whose transcriptomic rescue profile (top 200 DEGs) shows Pearson correlation &gt; 0.6 with CDKL5. Filter for genes with similar disease association (e.g., neurodevelopmental disorders only).'</w:t>
      </w:r>
    </w:p>
    <w:p>
      <w:pPr>
        <w:spacing w:after="100" w:line="360"/>
        <w:jc w:val="left"/>
      </w:pPr>
      <w:r>
        <w:t xml:space="preserve">'Generate a UMAP projection of all 12,000 Quiver genes embedded in the EP signature space. Highlight the position of PCDH19 and annotate the 20 nearest neighbors.'</w:t>
      </w:r>
    </w:p>
    <w:p>
      <w:pPr>
        <w:spacing w:after="100"/>
        <w:jc w:val="left"/>
      </w:pPr>
      <w:r>
        <w:t xml:space="preserve">Expected Outputs:</w:t>
      </w:r>
    </w:p>
    <w:p>
      <w:pPr>
        <w:spacing w:after="100" w:line="360"/>
        <w:jc w:val="left"/>
      </w:pPr>
      <w:r>
        <w:t xml:space="preserve">Ranked gene list: gene symbol, similarity score (EP cosine similarity), transcriptomic correlation, composite convergence score, percentile rank, p-value (permutation test).</w:t>
      </w:r>
    </w:p>
    <w:p>
      <w:pPr>
        <w:spacing w:after="100" w:line="360"/>
        <w:jc w:val="left"/>
      </w:pPr>
      <w:r>
        <w:t xml:space="preserve">Candidate gene set: top 20-50 genes passing a significance threshold (e.g., top 1% of all genes).</w:t>
      </w:r>
    </w:p>
    <w:p>
      <w:pPr>
        <w:spacing w:after="100" w:line="360"/>
        <w:jc w:val="left"/>
      </w:pPr>
      <w:r>
        <w:t xml:space="preserve">Dimensionality-reduced visualization: UMAP or PCA plot showing all genes in reduced space, with index gene and top candidates highlighted. Optional: cell-type-specific views.</w:t>
      </w:r>
    </w:p>
    <w:p>
      <w:pPr>
        <w:spacing w:after="100" w:line="360"/>
        <w:jc w:val="left"/>
      </w:pPr>
      <w:r>
        <w:t xml:space="preserve">Similarity matrix (subset): pairwise similarities among top 50 candidates and index gene, formatted as a heatmap.</w:t>
      </w:r>
    </w:p>
    <w:p>
      <w:pPr>
        <w:spacing w:after="100" w:line="360"/>
        <w:jc w:val="left"/>
      </w:pPr>
      <w:r>
        <w:t xml:space="preserve">Statistical summary: mean similarity score, distribution (histogram, percentiles), permutation test p-value, FDR-corrected significance thresholds.</w:t>
      </w:r>
    </w:p>
    <w:p>
      <w:pPr>
        <w:spacing w:after="200" w:line="360"/>
        <w:jc w:val="left"/>
      </w:pPr>
      <w:r>
        <w:rPr>
          <w:rFonts w:ascii="Arial" w:cs="Arial" w:eastAsia="Arial" w:hAnsi="Arial"/>
          <w:b/>
          <w:bCs/>
          <w:sz w:val="24"/>
          <w:szCs w:val="24"/>
        </w:rPr>
        <w:t xml:space="preserve">Format: </w:t>
      </w:r>
      <w:r>
        <w:rPr>
          <w:rFonts w:ascii="Arial" w:cs="Arial" w:eastAsia="Arial" w:hAnsi="Arial"/>
          <w:sz w:val="24"/>
          <w:szCs w:val="24"/>
        </w:rPr>
        <w:t xml:space="preserve">TSV ranking file (columns: gene_symbol, ep_similarity_score, transcriptomic_correlation, composite_score, percentile, p_value), PNG/PDF visualizations (UMAP, heatmap), JSON metadata.</w:t>
      </w:r>
    </w:p>
    <w:p>
      <w:pPr>
        <w:pStyle w:val="Heading2"/>
        <w:spacing w:before="200" w:after="200"/>
      </w:pPr>
      <w:r>
        <w:t xml:space="preserve">Stage 3: Biological Pathway Convergence Analysis</w:t>
      </w:r>
    </w:p>
    <w:p>
      <w:pPr>
        <w:spacing w:after="200" w:line="360"/>
        <w:jc w:val="left"/>
      </w:pPr>
      <w:r>
        <w:rPr>
          <w:rFonts w:ascii="Arial" w:cs="Arial" w:eastAsia="Arial" w:hAnsi="Arial"/>
          <w:b/>
          <w:bCs/>
          <w:sz w:val="24"/>
          <w:szCs w:val="24"/>
        </w:rPr>
        <w:t xml:space="preserve">Purpose: </w:t>
      </w:r>
      <w:r>
        <w:rPr>
          <w:rFonts w:ascii="Arial" w:cs="Arial" w:eastAsia="Arial" w:hAnsi="Arial"/>
          <w:sz w:val="24"/>
          <w:szCs w:val="24"/>
        </w:rPr>
        <w:t xml:space="preserve">For genes identified as having similar EP/transcriptomic rescue signatures, perform comprehensive biological pathway analysis to determine shared molecular mechanisms. Identify convergent pathways, protein-protein interactions, and disease mechanisms that explain functional similarity. This mechanistic understanding prioritizes biologically plausible candidates and supports regulatory and clinical reasoning.</w:t>
      </w:r>
    </w:p>
    <w:p>
      <w:pPr>
        <w:spacing w:after="100"/>
        <w:jc w:val="left"/>
      </w:pPr>
      <w:r>
        <w:t xml:space="preserve">Inputs:</w:t>
      </w:r>
    </w:p>
    <w:p>
      <w:pPr>
        <w:spacing w:after="100" w:line="360"/>
        <w:jc w:val="left"/>
      </w:pPr>
      <w:r>
        <w:t xml:space="preserve">Top 20-50 candidate genes from Stage 2 (ranked by convergence score)</w:t>
      </w:r>
    </w:p>
    <w:p>
      <w:pPr>
        <w:spacing w:after="100" w:line="360"/>
        <w:jc w:val="left"/>
      </w:pPr>
      <w:r>
        <w:t xml:space="preserve">Index gene identifier and its known disease mechanism (literature, OMIM)</w:t>
      </w:r>
    </w:p>
    <w:p>
      <w:pPr>
        <w:spacing w:after="100" w:line="360"/>
        <w:jc w:val="left"/>
      </w:pPr>
      <w:r>
        <w:t xml:space="preserve">DEG lists (top 100-500 genes) for index gene and each candidate gene from Stage 1</w:t>
      </w:r>
    </w:p>
    <w:p>
      <w:pPr>
        <w:spacing w:after="100" w:line="360"/>
        <w:jc w:val="left"/>
      </w:pPr>
      <w:r>
        <w:t xml:space="preserve">Gene Ontology (GO) terms and pathway databases (KEGG, Reactome) for all genes of interest</w:t>
      </w:r>
    </w:p>
    <w:p>
      <w:pPr>
        <w:spacing w:after="100" w:line="360"/>
        <w:jc w:val="left"/>
      </w:pPr>
      <w:r>
        <w:t xml:space="preserve">Optional: tissue-specific or cell-type-specific expression data, disease annotations</w:t>
      </w:r>
    </w:p>
    <w:p>
      <w:pPr>
        <w:spacing w:after="100"/>
        <w:jc w:val="left"/>
      </w:pPr>
      <w:r>
        <w:t xml:space="preserve">Tools &amp; Databases Called:</w:t>
      </w:r>
    </w:p>
    <w:p>
      <w:pPr>
        <w:spacing w:after="100" w:line="360"/>
        <w:jc w:val="left"/>
      </w:pPr>
      <w:r>
        <w:rPr>
          <w:rFonts w:ascii="Arial" w:cs="Arial" w:eastAsia="Arial" w:hAnsi="Arial"/>
          <w:b/>
          <w:bCs/>
          <w:sz w:val="24"/>
          <w:szCs w:val="24"/>
        </w:rPr>
        <w:t xml:space="preserve">STRING (Search Tool for the Retrieval of Interacting Genes/Proteins) — </w:t>
      </w:r>
      <w:r>
        <w:rPr>
          <w:rFonts w:ascii="Arial" w:cs="Arial" w:eastAsia="Arial" w:hAnsi="Arial"/>
          <w:sz w:val="24"/>
          <w:szCs w:val="24"/>
        </w:rPr>
        <w:t xml:space="preserve">A comprehensive protein-protein interaction (PPI) database. Query each candidate gene to retrieve its direct and indirect interaction network. Compute network overlap between index gene and candidate gene interaction partners. Filter by interaction confidence (&gt;0.7 for medium-high confidence).</w:t>
      </w:r>
    </w:p>
    <w:p>
      <w:pPr>
        <w:spacing w:after="100" w:line="360"/>
        <w:jc w:val="left"/>
      </w:pPr>
      <w:r>
        <w:rPr>
          <w:rFonts w:ascii="Arial" w:cs="Arial" w:eastAsia="Arial" w:hAnsi="Arial"/>
          <w:b/>
          <w:bCs/>
          <w:sz w:val="24"/>
          <w:szCs w:val="24"/>
        </w:rPr>
        <w:t xml:space="preserve">KEGG (Kyoto Encyclopedia of Genes and Genomes) — </w:t>
      </w:r>
      <w:r>
        <w:rPr>
          <w:rFonts w:ascii="Arial" w:cs="Arial" w:eastAsia="Arial" w:hAnsi="Arial"/>
          <w:sz w:val="24"/>
          <w:szCs w:val="24"/>
        </w:rPr>
        <w:t xml:space="preserve">Manually curated pathway database covering signal transduction, metabolic pathways, and disease mechanisms. Map DEG lists to KEGG pathways using pathway enrichment analysis (hypergeometric test, FDR correction). Identify shared pathways between index and candidate genes.</w:t>
      </w:r>
    </w:p>
    <w:p>
      <w:pPr>
        <w:spacing w:after="100" w:line="360"/>
        <w:jc w:val="left"/>
      </w:pPr>
      <w:r>
        <w:rPr>
          <w:rFonts w:ascii="Arial" w:cs="Arial" w:eastAsia="Arial" w:hAnsi="Arial"/>
          <w:b/>
          <w:bCs/>
          <w:sz w:val="24"/>
          <w:szCs w:val="24"/>
        </w:rPr>
        <w:t xml:space="preserve">Reactome — </w:t>
      </w:r>
      <w:r>
        <w:rPr>
          <w:rFonts w:ascii="Arial" w:cs="Arial" w:eastAsia="Arial" w:hAnsi="Arial"/>
          <w:sz w:val="24"/>
          <w:szCs w:val="24"/>
        </w:rPr>
        <w:t xml:space="preserve">Manually curated database of human biological pathways at the molecular level. Provides higher functional specificity than KEGG for detailed mechanistic insights. Query both index and candidate genes for pathway membership and cross-pathway relationships.</w:t>
      </w:r>
    </w:p>
    <w:p>
      <w:pPr>
        <w:spacing w:after="100" w:line="360"/>
        <w:jc w:val="left"/>
      </w:pPr>
      <w:r>
        <w:rPr>
          <w:rFonts w:ascii="Arial" w:cs="Arial" w:eastAsia="Arial" w:hAnsi="Arial"/>
          <w:b/>
          <w:bCs/>
          <w:sz w:val="24"/>
          <w:szCs w:val="24"/>
        </w:rPr>
        <w:t xml:space="preserve">Gene Ontology (GO) — </w:t>
      </w:r>
      <w:r>
        <w:rPr>
          <w:rFonts w:ascii="Arial" w:cs="Arial" w:eastAsia="Arial" w:hAnsi="Arial"/>
          <w:sz w:val="24"/>
          <w:szCs w:val="24"/>
        </w:rPr>
        <w:t xml:space="preserve">Structured, controlled vocabulary of biological processes, cellular components, and molecular functions. Perform GO enrichment analysis (Fisher exact test or GSEA) on DEG lists. Compare GO term enrichment profiles between index and candidate genes to quantify functional similarity.</w:t>
      </w:r>
    </w:p>
    <w:p>
      <w:pPr>
        <w:spacing w:after="100" w:line="360"/>
        <w:jc w:val="left"/>
      </w:pPr>
      <w:r>
        <w:rPr>
          <w:rFonts w:ascii="Arial" w:cs="Arial" w:eastAsia="Arial" w:hAnsi="Arial"/>
          <w:b/>
          <w:bCs/>
          <w:sz w:val="24"/>
          <w:szCs w:val="24"/>
        </w:rPr>
        <w:t xml:space="preserve">DisGeNET — </w:t>
      </w:r>
      <w:r>
        <w:rPr>
          <w:rFonts w:ascii="Arial" w:cs="Arial" w:eastAsia="Arial" w:hAnsi="Arial"/>
          <w:sz w:val="24"/>
          <w:szCs w:val="24"/>
        </w:rPr>
        <w:t xml:space="preserve">A comprehensive gene-disease association database. Query each candidate gene to retrieve all associated diseases. Identify genes associated with similar disease phenotypes, tissue origins, and severity profiles as the index gene.</w:t>
      </w:r>
    </w:p>
    <w:p>
      <w:pPr>
        <w:spacing w:after="100" w:line="360"/>
        <w:jc w:val="left"/>
      </w:pPr>
      <w:r>
        <w:rPr>
          <w:rFonts w:ascii="Arial" w:cs="Arial" w:eastAsia="Arial" w:hAnsi="Arial"/>
          <w:b/>
          <w:bCs/>
          <w:sz w:val="24"/>
          <w:szCs w:val="24"/>
        </w:rPr>
        <w:t xml:space="preserve">OMIM (Online Mendelian Inheritance in Man) — </w:t>
      </w:r>
      <w:r>
        <w:rPr>
          <w:rFonts w:ascii="Arial" w:cs="Arial" w:eastAsia="Arial" w:hAnsi="Arial"/>
          <w:sz w:val="24"/>
          <w:szCs w:val="24"/>
        </w:rPr>
        <w:t xml:space="preserve">Authoritative resource for human genetic disorders and disease mechanisms. Manual curation: review OMIM entries for index gene and top candidates to identify shared disease pathways, phenotypic overlap, and clinical relevance.</w:t>
      </w:r>
    </w:p>
    <w:p>
      <w:pPr>
        <w:spacing w:after="100"/>
        <w:jc w:val="left"/>
      </w:pPr>
      <w:r>
        <w:t xml:space="preserve">Exemplary Sub-Prompts:</w:t>
      </w:r>
    </w:p>
    <w:p>
      <w:pPr>
        <w:spacing w:after="100" w:line="360"/>
        <w:jc w:val="left"/>
      </w:pPr>
      <w:r>
        <w:t xml:space="preserve">'For DLG4 and its top 10 convergent genes, retrieve PPI networks from STRING. Identify shared interacting partners and compute network overlap coefficients. Which genes share &gt;30% of direct interactors with DLG4?'</w:t>
      </w:r>
    </w:p>
    <w:p>
      <w:pPr>
        <w:spacing w:after="100" w:line="360"/>
        <w:jc w:val="left"/>
      </w:pPr>
      <w:r>
        <w:t xml:space="preserve">'Perform KEGG pathway enrichment on CDKL5 DEGs and compare to PCDH19 DEGs. Identify the top 10 shared pathways (sorted by combined FDR p-value). Do they converge on synaptic transmission or calcium signaling?'</w:t>
      </w:r>
    </w:p>
    <w:p>
      <w:pPr>
        <w:spacing w:after="100" w:line="360"/>
        <w:jc w:val="left"/>
      </w:pPr>
      <w:r>
        <w:t xml:space="preserve">'Query DisGeNET for all diseases associated with our top 20 candidate genes. Create a disease-gene incidence matrix. Are there &gt;5 genes associated with the same neurodevelopmental or epilepsy phenotype as the index gene?'</w:t>
      </w:r>
    </w:p>
    <w:p>
      <w:pPr>
        <w:spacing w:after="100"/>
        <w:jc w:val="left"/>
      </w:pPr>
      <w:r>
        <w:t xml:space="preserve">Expected Outputs:</w:t>
      </w:r>
    </w:p>
    <w:p>
      <w:pPr>
        <w:spacing w:after="100" w:line="360"/>
        <w:jc w:val="left"/>
      </w:pPr>
      <w:r>
        <w:t xml:space="preserve">Pathway convergence report: list of shared KEGG/Reactome pathways between index and each candidate gene, with enrichment p-values (FDR-corrected) and gene count per pathway.</w:t>
      </w:r>
    </w:p>
    <w:p>
      <w:pPr>
        <w:spacing w:after="100" w:line="360"/>
        <w:jc w:val="left"/>
      </w:pPr>
      <w:r>
        <w:t xml:space="preserve">PPI network analysis: degree distribution, clustering coefficient, and overlap score (Jaccard index) of direct interactors between index and candidate genes. Subnetwork visualization (graphML or Cytoscape format).</w:t>
      </w:r>
    </w:p>
    <w:p>
      <w:pPr>
        <w:spacing w:after="100" w:line="360"/>
        <w:jc w:val="left"/>
      </w:pPr>
      <w:r>
        <w:t xml:space="preserve">GO enrichment comparison: heatmap of GO term enrichment scores (log10 p-value) for index and top candidates. Identifies shared biological processes and molecular functions.</w:t>
      </w:r>
    </w:p>
    <w:p>
      <w:pPr>
        <w:spacing w:after="100" w:line="360"/>
        <w:jc w:val="left"/>
      </w:pPr>
      <w:r>
        <w:t xml:space="preserve">Disease association summary: table mapping candidate genes to associated diseases, phenotypes, and inheritance modes. Cross-reference with index gene disease annotations.</w:t>
      </w:r>
    </w:p>
    <w:p>
      <w:pPr>
        <w:spacing w:after="100" w:line="360"/>
        <w:jc w:val="left"/>
      </w:pPr>
      <w:r>
        <w:t xml:space="preserve">Mechanistic consensus: narrative summary of convergent molecular mechanisms (e.g., 'all candidates impair glutamatergic synapse function through NMDAR signaling'). Evidence-graded (high/medium/low confidence).</w:t>
      </w:r>
    </w:p>
    <w:p>
      <w:pPr>
        <w:spacing w:after="200" w:line="360"/>
        <w:jc w:val="left"/>
      </w:pPr>
      <w:r>
        <w:rPr>
          <w:rFonts w:ascii="Arial" w:cs="Arial" w:eastAsia="Arial" w:hAnsi="Arial"/>
          <w:b/>
          <w:bCs/>
          <w:sz w:val="24"/>
          <w:szCs w:val="24"/>
        </w:rPr>
        <w:t xml:space="preserve">Format: </w:t>
      </w:r>
      <w:r>
        <w:rPr>
          <w:rFonts w:ascii="Arial" w:cs="Arial" w:eastAsia="Arial" w:hAnsi="Arial"/>
          <w:sz w:val="24"/>
          <w:szCs w:val="24"/>
        </w:rPr>
        <w:t xml:space="preserve">TSV tables for pathway and GO enrichment (columns: pathway_id, pathway_name, gene_count, fdr_p_value, shared_genes), GraphML for PPI networks, PNG/PDF for network visualizations, markdown for mechanistic narratives.</w:t>
      </w:r>
    </w:p>
    <w:p>
      <w:pPr>
        <w:pStyle w:val="Heading2"/>
        <w:spacing w:before="200" w:after="200"/>
      </w:pPr>
      <w:r>
        <w:t xml:space="preserve">Stage 4: Transcript Sequence Homology &amp; Shared Target Site Analysis</w:t>
      </w:r>
    </w:p>
    <w:p>
      <w:pPr>
        <w:spacing w:after="200" w:line="360"/>
        <w:jc w:val="left"/>
      </w:pPr>
      <w:r>
        <w:rPr>
          <w:rFonts w:ascii="Arial" w:cs="Arial" w:eastAsia="Arial" w:hAnsi="Arial"/>
          <w:b/>
          <w:bCs/>
          <w:sz w:val="24"/>
          <w:szCs w:val="24"/>
        </w:rPr>
        <w:t xml:space="preserve">Purpose: </w:t>
      </w:r>
      <w:r>
        <w:rPr>
          <w:rFonts w:ascii="Arial" w:cs="Arial" w:eastAsia="Arial" w:hAnsi="Arial"/>
          <w:sz w:val="24"/>
          <w:szCs w:val="24"/>
        </w:rPr>
        <w:t xml:space="preserve">Assess nucleotide and amino acid sequence homology between the index gene and convergent candidates. Identify regions of high sequence conservation suitable as shared ASO target sites. This stage narrows candidates to those with targetable shared sequence features, making them amenable to single-oligo or multi-oligo therapeutic approaches.</w:t>
      </w:r>
    </w:p>
    <w:p>
      <w:pPr>
        <w:spacing w:after="100"/>
        <w:jc w:val="left"/>
      </w:pPr>
      <w:r>
        <w:t xml:space="preserve">Inputs:</w:t>
      </w:r>
    </w:p>
    <w:p>
      <w:pPr>
        <w:spacing w:after="100" w:line="360"/>
        <w:jc w:val="left"/>
      </w:pPr>
      <w:r>
        <w:t xml:space="preserve">Index gene transcript sequence(s): FASTA files for all isoforms (from Ensembl or RefSeq)</w:t>
      </w:r>
    </w:p>
    <w:p>
      <w:pPr>
        <w:spacing w:after="100" w:line="360"/>
        <w:jc w:val="left"/>
      </w:pPr>
      <w:r>
        <w:t xml:space="preserve">Candidate gene transcript sequences: FASTA for all isoforms of top 10-20 genes from Stage 2</w:t>
      </w:r>
    </w:p>
    <w:p>
      <w:pPr>
        <w:spacing w:after="100" w:line="360"/>
        <w:jc w:val="left"/>
      </w:pPr>
      <w:r>
        <w:t xml:space="preserve">Reference genome and transcript annotations (GRCh38 or latest; GTF format)</w:t>
      </w:r>
    </w:p>
    <w:p>
      <w:pPr>
        <w:spacing w:after="100" w:line="360"/>
        <w:jc w:val="left"/>
      </w:pPr>
      <w:r>
        <w:t xml:space="preserve">ASO design constraints: length (typically 15-25 nucleotides), GC content range (40-60%), secondary structure thresholds</w:t>
      </w:r>
    </w:p>
    <w:p>
      <w:pPr>
        <w:spacing w:after="100" w:line="360"/>
        <w:jc w:val="left"/>
      </w:pPr>
      <w:r>
        <w:t xml:space="preserve">Optional: tissue-specific splice variants, isoform expression data to prioritize major isoforms</w:t>
      </w:r>
    </w:p>
    <w:p>
      <w:pPr>
        <w:spacing w:after="100"/>
        <w:jc w:val="left"/>
      </w:pPr>
      <w:r>
        <w:t xml:space="preserve">Tools &amp; Databases Called:</w:t>
      </w:r>
    </w:p>
    <w:p>
      <w:pPr>
        <w:spacing w:after="100" w:line="360"/>
        <w:jc w:val="left"/>
      </w:pPr>
      <w:r>
        <w:rPr>
          <w:rFonts w:ascii="Arial" w:cs="Arial" w:eastAsia="Arial" w:hAnsi="Arial"/>
          <w:b/>
          <w:bCs/>
          <w:sz w:val="24"/>
          <w:szCs w:val="24"/>
        </w:rPr>
        <w:t xml:space="preserve">BLAST/BLAT (Basic Local Alignment Search Tool) — </w:t>
      </w:r>
      <w:r>
        <w:rPr>
          <w:rFonts w:ascii="Arial" w:cs="Arial" w:eastAsia="Arial" w:hAnsi="Arial"/>
          <w:sz w:val="24"/>
          <w:szCs w:val="24"/>
        </w:rPr>
        <w:t xml:space="preserve">Rapidly align transcript sequences of candidate genes against the index gene sequence. Identify local sequence matches (especially exonic regions where ASOs bind). Report alignment identity, coverage, and e-values. Filter for matches &gt;15 nt with &gt;80% identity.</w:t>
      </w:r>
    </w:p>
    <w:p>
      <w:pPr>
        <w:spacing w:after="100" w:line="360"/>
        <w:jc w:val="left"/>
      </w:pPr>
      <w:r>
        <w:rPr>
          <w:rFonts w:ascii="Arial" w:cs="Arial" w:eastAsia="Arial" w:hAnsi="Arial"/>
          <w:b/>
          <w:bCs/>
          <w:sz w:val="24"/>
          <w:szCs w:val="24"/>
        </w:rPr>
        <w:t xml:space="preserve">Ensembl Compara — </w:t>
      </w:r>
      <w:r>
        <w:rPr>
          <w:rFonts w:ascii="Arial" w:cs="Arial" w:eastAsia="Arial" w:hAnsi="Arial"/>
          <w:sz w:val="24"/>
          <w:szCs w:val="24"/>
        </w:rPr>
        <w:t xml:space="preserve">Comparative genomics database providing pre-computed multiple sequence alignments (MSA) of human genes and orthologs. Retrieve MSAs for index and candidate genes to assess conservation. Identify highly conserved exonic sequences suitable as shared targets.</w:t>
      </w:r>
    </w:p>
    <w:p>
      <w:pPr>
        <w:spacing w:after="100" w:line="360"/>
        <w:jc w:val="left"/>
      </w:pPr>
      <w:r>
        <w:rPr>
          <w:rFonts w:ascii="Arial" w:cs="Arial" w:eastAsia="Arial" w:hAnsi="Arial"/>
          <w:b/>
          <w:bCs/>
          <w:sz w:val="24"/>
          <w:szCs w:val="24"/>
        </w:rPr>
        <w:t xml:space="preserve">Clustal Omega — </w:t>
      </w:r>
      <w:r>
        <w:rPr>
          <w:rFonts w:ascii="Arial" w:cs="Arial" w:eastAsia="Arial" w:hAnsi="Arial"/>
          <w:sz w:val="24"/>
          <w:szCs w:val="24"/>
        </w:rPr>
        <w:t xml:space="preserve">Multiple sequence alignment tool for precise alignment of candidate gene sequences. Generates profile HMMs and conservation scores. Identify positions of high identity across candidate genes.</w:t>
      </w:r>
    </w:p>
    <w:p>
      <w:pPr>
        <w:spacing w:after="100" w:line="360"/>
        <w:jc w:val="left"/>
      </w:pPr>
      <w:r>
        <w:rPr>
          <w:rFonts w:ascii="Arial" w:cs="Arial" w:eastAsia="Arial" w:hAnsi="Arial"/>
          <w:b/>
          <w:bCs/>
          <w:sz w:val="24"/>
          <w:szCs w:val="24"/>
        </w:rPr>
        <w:t xml:space="preserve">Quiver ASO Design Module — </w:t>
      </w:r>
      <w:r>
        <w:rPr>
          <w:rFonts w:ascii="Arial" w:cs="Arial" w:eastAsia="Arial" w:hAnsi="Arial"/>
          <w:sz w:val="24"/>
          <w:szCs w:val="24"/>
        </w:rPr>
        <w:t xml:space="preserve">Proprietary tool that designs optimal ASO sequences given transcript input and design constraints. Evaluates specificity, secondary structure accessibility, and predicted binding affinity. Can search for shared-target-site designs spanning multiple genes.</w:t>
      </w:r>
    </w:p>
    <w:p>
      <w:pPr>
        <w:spacing w:after="100" w:line="360"/>
        <w:jc w:val="left"/>
      </w:pPr>
      <w:r>
        <w:rPr>
          <w:rFonts w:ascii="Arial" w:cs="Arial" w:eastAsia="Arial" w:hAnsi="Arial"/>
          <w:b/>
          <w:bCs/>
          <w:sz w:val="24"/>
          <w:szCs w:val="24"/>
        </w:rPr>
        <w:t xml:space="preserve">Ensembl REST API / Custom Parser — </w:t>
      </w:r>
      <w:r>
        <w:rPr>
          <w:rFonts w:ascii="Arial" w:cs="Arial" w:eastAsia="Arial" w:hAnsi="Arial"/>
          <w:sz w:val="24"/>
          <w:szCs w:val="24"/>
        </w:rPr>
        <w:t xml:space="preserve">Programmatic retrieval of transcript annotations, exon boundaries, UTR regions, and splice variants. Enables systematic comparison of genomic contexts for target sites across genes.</w:t>
      </w:r>
    </w:p>
    <w:p>
      <w:pPr>
        <w:spacing w:after="100"/>
        <w:jc w:val="left"/>
      </w:pPr>
      <w:r>
        <w:t xml:space="preserve">Exemplary Sub-Prompts:</w:t>
      </w:r>
    </w:p>
    <w:p>
      <w:pPr>
        <w:spacing w:after="100" w:line="360"/>
        <w:jc w:val="left"/>
      </w:pPr>
      <w:r>
        <w:t xml:space="preserve">'Perform BLAST alignment of PCDH19 exonic sequences against DLG4, GRIN2B, and CDKL5 transcripts. Identify regions with &gt;18 nt of &gt;85% sequence identity suitable as shared ASO target sites.'</w:t>
      </w:r>
    </w:p>
    <w:p>
      <w:pPr>
        <w:spacing w:after="100" w:line="360"/>
        <w:jc w:val="left"/>
      </w:pPr>
      <w:r>
        <w:t xml:space="preserve">'Retrieve Ensembl Compara MSAs for CDKL5 and its top 5 convergent candidate genes. Compute conservation scores (phastCons) per nucleotide position. Which exonic regions show conservation across all candidate genes?'</w:t>
      </w:r>
    </w:p>
    <w:p>
      <w:pPr>
        <w:spacing w:after="100" w:line="360"/>
        <w:jc w:val="left"/>
      </w:pPr>
      <w:r>
        <w:t xml:space="preserve">'For the shared target sequence motif identified in Stage 4, design ASOs using Quiver ASO Design Module. Evaluate specificity against off-target genes. What is the specificity ratio (on-target affinity / mean off-target affinity)?'</w:t>
      </w:r>
    </w:p>
    <w:p>
      <w:pPr>
        <w:spacing w:after="100"/>
        <w:jc w:val="left"/>
      </w:pPr>
      <w:r>
        <w:t xml:space="preserve">Expected Outputs:</w:t>
      </w:r>
    </w:p>
    <w:p>
      <w:pPr>
        <w:spacing w:after="100" w:line="360"/>
        <w:jc w:val="left"/>
      </w:pPr>
      <w:r>
        <w:t xml:space="preserve">Sequence homology matrix: pairwise percent identity between index and each candidate gene (full-transcript and exon-specific). Include statistical confidence (number of aligned positions, e-values).</w:t>
      </w:r>
    </w:p>
    <w:p>
      <w:pPr>
        <w:spacing w:after="100" w:line="360"/>
        <w:jc w:val="left"/>
      </w:pPr>
      <w:r>
        <w:t xml:space="preserve">Shared target site catalog: genomic and transcript coordinates of conserved regions (&gt;18 nt, &gt;80% identity) suitable for ASO targeting. Include isoform specificity annotations.</w:t>
      </w:r>
    </w:p>
    <w:p>
      <w:pPr>
        <w:spacing w:after="100" w:line="360"/>
        <w:jc w:val="left"/>
      </w:pPr>
      <w:r>
        <w:t xml:space="preserve">Multiple sequence alignment (Clustal format): alignment of exonic regions across index and top 5-10 candidates, with conservation coloring. Highlight candidate target sites.</w:t>
      </w:r>
    </w:p>
    <w:p>
      <w:pPr>
        <w:spacing w:after="100" w:line="360"/>
        <w:jc w:val="left"/>
      </w:pPr>
      <w:r>
        <w:t xml:space="preserve">ASO design candidates: 3-5 proposed ASO sequences that could target multiple genes, with predicted binding affinities and specificity metrics.</w:t>
      </w:r>
    </w:p>
    <w:p>
      <w:pPr>
        <w:spacing w:after="100" w:line="360"/>
        <w:jc w:val="left"/>
      </w:pPr>
      <w:r>
        <w:t xml:space="preserve">Off-target risk assessment: BLAST search of candidate ASO sequences against the human genome; report any high-confidence off-targets (&gt;15 nt match, &lt;3 mismatches in exonic regions).</w:t>
      </w:r>
    </w:p>
    <w:p>
      <w:pPr>
        <w:spacing w:after="200" w:line="360"/>
        <w:jc w:val="left"/>
      </w:pPr>
      <w:r>
        <w:rPr>
          <w:rFonts w:ascii="Arial" w:cs="Arial" w:eastAsia="Arial" w:hAnsi="Arial"/>
          <w:b/>
          <w:bCs/>
          <w:sz w:val="24"/>
          <w:szCs w:val="24"/>
        </w:rPr>
        <w:t xml:space="preserve">Format: </w:t>
      </w:r>
      <w:r>
        <w:rPr>
          <w:rFonts w:ascii="Arial" w:cs="Arial" w:eastAsia="Arial" w:hAnsi="Arial"/>
          <w:sz w:val="24"/>
          <w:szCs w:val="24"/>
        </w:rPr>
        <w:t xml:space="preserve">TSV for homology matrix, GFF/BED files for target site coordinates, FASTA for alignments and proposed ASO sequences, PDF for visual alignments and conservation plots.</w:t>
      </w:r>
    </w:p>
    <w:p>
      <w:pPr>
        <w:pStyle w:val="Heading2"/>
        <w:spacing w:before="200" w:after="200"/>
      </w:pPr>
      <w:r>
        <w:t xml:space="preserve">Stage 5: Shared Oligo Feasibility Assessment</w:t>
      </w:r>
    </w:p>
    <w:p>
      <w:pPr>
        <w:spacing w:after="200" w:line="360"/>
        <w:jc w:val="left"/>
      </w:pPr>
      <w:r>
        <w:rPr>
          <w:rFonts w:ascii="Arial" w:cs="Arial" w:eastAsia="Arial" w:hAnsi="Arial"/>
          <w:b/>
          <w:bCs/>
          <w:sz w:val="24"/>
          <w:szCs w:val="24"/>
        </w:rPr>
        <w:t xml:space="preserve">Purpose: </w:t>
      </w:r>
      <w:r>
        <w:rPr>
          <w:rFonts w:ascii="Arial" w:cs="Arial" w:eastAsia="Arial" w:hAnsi="Arial"/>
          <w:sz w:val="24"/>
          <w:szCs w:val="24"/>
        </w:rPr>
        <w:t xml:space="preserve">Conduct rigorous in silico feasibility assessment of proposed shared ASO sequences. Evaluate specificity (minimal off-target binding), structural accessibility, thermodynamic favorability, and predicted efficacy. Rank candidate ASOs and identify those with highest probability of success in downstream experimental validation and clinical development.</w:t>
      </w:r>
    </w:p>
    <w:p>
      <w:pPr>
        <w:spacing w:after="100"/>
        <w:jc w:val="left"/>
      </w:pPr>
      <w:r>
        <w:t xml:space="preserve">Inputs:</w:t>
      </w:r>
    </w:p>
    <w:p>
      <w:pPr>
        <w:spacing w:after="100" w:line="360"/>
        <w:jc w:val="left"/>
      </w:pPr>
      <w:r>
        <w:t xml:space="preserve">Candidate shared ASO sequences (3-5 sequences from Stage 4)</w:t>
      </w:r>
    </w:p>
    <w:p>
      <w:pPr>
        <w:spacing w:after="100" w:line="360"/>
        <w:jc w:val="left"/>
      </w:pPr>
      <w:r>
        <w:t xml:space="preserve">Target transcript sequences (index gene + convergent candidates)</w:t>
      </w:r>
    </w:p>
    <w:p>
      <w:pPr>
        <w:spacing w:after="100" w:line="360"/>
        <w:jc w:val="left"/>
      </w:pPr>
      <w:r>
        <w:t xml:space="preserve">Reference human genome (FASTA) for off-target detection</w:t>
      </w:r>
    </w:p>
    <w:p>
      <w:pPr>
        <w:spacing w:after="100" w:line="360"/>
        <w:jc w:val="left"/>
      </w:pPr>
      <w:r>
        <w:t xml:space="preserve">ASO chemistry specification (e.g., phosphorothioate backbone, 2'-O-methyl modifications, MOE chemistry)</w:t>
      </w:r>
    </w:p>
    <w:p>
      <w:pPr>
        <w:spacing w:after="100" w:line="360"/>
        <w:jc w:val="left"/>
      </w:pPr>
      <w:r>
        <w:t xml:space="preserve">Cell type and tissue tropism preferences (e.g., 'must function in CNS-penetrant delivery for brain targets')</w:t>
      </w:r>
    </w:p>
    <w:p>
      <w:pPr>
        <w:spacing w:after="100"/>
        <w:jc w:val="left"/>
      </w:pPr>
      <w:r>
        <w:t xml:space="preserve">Tools &amp; Databases Called:</w:t>
      </w:r>
    </w:p>
    <w:p>
      <w:pPr>
        <w:spacing w:after="100" w:line="360"/>
        <w:jc w:val="left"/>
      </w:pPr>
      <w:r>
        <w:rPr>
          <w:rFonts w:ascii="Arial" w:cs="Arial" w:eastAsia="Arial" w:hAnsi="Arial"/>
          <w:b/>
          <w:bCs/>
          <w:sz w:val="24"/>
          <w:szCs w:val="24"/>
        </w:rPr>
        <w:t xml:space="preserve">Quiver ASO Design Module (advanced) — </w:t>
      </w:r>
      <w:r>
        <w:rPr>
          <w:rFonts w:ascii="Arial" w:cs="Arial" w:eastAsia="Arial" w:hAnsi="Arial"/>
          <w:sz w:val="24"/>
          <w:szCs w:val="24"/>
        </w:rPr>
        <w:t xml:space="preserve">Comprehensive feasibility scoring: combines specificity analysis, secondary structure accessibility, thermodynamic binding free energy, and predicted cellular uptake. Outputs a multi-dimensional score (0-100) and recommendation (High Feasibility / Medium / Low).</w:t>
      </w:r>
    </w:p>
    <w:p>
      <w:pPr>
        <w:spacing w:after="100" w:line="360"/>
        <w:jc w:val="left"/>
      </w:pPr>
      <w:r>
        <w:rPr>
          <w:rFonts w:ascii="Arial" w:cs="Arial" w:eastAsia="Arial" w:hAnsi="Arial"/>
          <w:b/>
          <w:bCs/>
          <w:sz w:val="24"/>
          <w:szCs w:val="24"/>
        </w:rPr>
        <w:t xml:space="preserve">BLAST (off-target analysis) — </w:t>
      </w:r>
      <w:r>
        <w:rPr>
          <w:rFonts w:ascii="Arial" w:cs="Arial" w:eastAsia="Arial" w:hAnsi="Arial"/>
          <w:sz w:val="24"/>
          <w:szCs w:val="24"/>
        </w:rPr>
        <w:t xml:space="preserve">Search candidate ASO sequences against the human genome (±3 mismatches allowed for 20 nt ASO). Report all matches in exonic regions. Compute off-target risk: number of exonic matches / total potential targets.</w:t>
      </w:r>
    </w:p>
    <w:p>
      <w:pPr>
        <w:spacing w:after="100" w:line="360"/>
        <w:jc w:val="left"/>
      </w:pPr>
      <w:r>
        <w:rPr>
          <w:rFonts w:ascii="Arial" w:cs="Arial" w:eastAsia="Arial" w:hAnsi="Arial"/>
          <w:b/>
          <w:bCs/>
          <w:sz w:val="24"/>
          <w:szCs w:val="24"/>
        </w:rPr>
        <w:t xml:space="preserve">RNAfold (Vienna RNA Package) — </w:t>
      </w:r>
      <w:r>
        <w:rPr>
          <w:rFonts w:ascii="Arial" w:cs="Arial" w:eastAsia="Arial" w:hAnsi="Arial"/>
          <w:sz w:val="24"/>
          <w:szCs w:val="24"/>
        </w:rPr>
        <w:t xml:space="preserve">Secondary structure prediction for target transcripts bound to proposed ASO. Identify regions of high single-stranded accessibility (low MFE for local structure). Compare predicted binding site accessibility across target genes.</w:t>
      </w:r>
    </w:p>
    <w:p>
      <w:pPr>
        <w:spacing w:after="100" w:line="360"/>
        <w:jc w:val="left"/>
      </w:pPr>
      <w:r>
        <w:rPr>
          <w:rFonts w:ascii="Arial" w:cs="Arial" w:eastAsia="Arial" w:hAnsi="Arial"/>
          <w:b/>
          <w:bCs/>
          <w:sz w:val="24"/>
          <w:szCs w:val="24"/>
        </w:rPr>
        <w:t xml:space="preserve">Thermodynamic Binding Calculations (NUPACK / OligoTm) — </w:t>
      </w:r>
      <w:r>
        <w:rPr>
          <w:rFonts w:ascii="Arial" w:cs="Arial" w:eastAsia="Arial" w:hAnsi="Arial"/>
          <w:sz w:val="24"/>
          <w:szCs w:val="24"/>
        </w:rPr>
        <w:t xml:space="preserve">Compute melting temperatures (Tm), binding free energy (ΔG), and equilibrium dissociation constants (Kd) for ASO-target duplex formation. Assess chemistry-specific effects (e.g., stabilization by 2'-O-methyl modifications).</w:t>
      </w:r>
    </w:p>
    <w:p>
      <w:pPr>
        <w:spacing w:after="100" w:line="360"/>
        <w:jc w:val="left"/>
      </w:pPr>
      <w:r>
        <w:rPr>
          <w:rFonts w:ascii="Arial" w:cs="Arial" w:eastAsia="Arial" w:hAnsi="Arial"/>
          <w:b/>
          <w:bCs/>
          <w:sz w:val="24"/>
          <w:szCs w:val="24"/>
        </w:rPr>
        <w:t xml:space="preserve">Quiver Confidence Scoring — </w:t>
      </w:r>
      <w:r>
        <w:rPr>
          <w:rFonts w:ascii="Arial" w:cs="Arial" w:eastAsia="Arial" w:hAnsi="Arial"/>
          <w:sz w:val="24"/>
          <w:szCs w:val="24"/>
        </w:rPr>
        <w:t xml:space="preserve">Proprietary composite metric integrating Quiver experimental validation data (cell-based efficacy for similar ASOs), CRISPR rescue magnitude, and disease severity. Predicts likelihood of clinical relevance and therapeutic window.</w:t>
      </w:r>
    </w:p>
    <w:p>
      <w:pPr>
        <w:spacing w:after="100"/>
        <w:jc w:val="left"/>
      </w:pPr>
      <w:r>
        <w:t xml:space="preserve">Exemplary Sub-Prompts:</w:t>
      </w:r>
    </w:p>
    <w:p>
      <w:pPr>
        <w:spacing w:after="100" w:line="360"/>
        <w:jc w:val="left"/>
      </w:pPr>
      <w:r>
        <w:t xml:space="preserve">'Evaluate 5 candidate shared ASO sequences against DLG4, GRIN2B, and CDKL5 targets. For each, compute: (1) specificity score (off-target count), (2) predicted binding accessibility, (3) thermodynamic favorability (ΔG). Rank by composite feasibility score.'</w:t>
      </w:r>
    </w:p>
    <w:p>
      <w:pPr>
        <w:spacing w:after="100" w:line="360"/>
        <w:jc w:val="left"/>
      </w:pPr>
      <w:r>
        <w:t xml:space="preserve">'For the top-ranked shared ASO, perform comprehensive BLAST off-target analysis. How many exonic matches exist in the human genome with ≤2 mismatches? What is the predicted risk of non-target toxicity?'</w:t>
      </w:r>
    </w:p>
    <w:p>
      <w:pPr>
        <w:spacing w:after="100" w:line="360"/>
        <w:jc w:val="left"/>
      </w:pPr>
      <w:r>
        <w:t xml:space="preserve">'Compute predicted melting temperatures and binding free energies for the shared ASO against all target transcripts. Are Tm values within the optimal range (70-80°C)? Do they vary significantly between target genes, suggesting variable potency?'</w:t>
      </w:r>
    </w:p>
    <w:p>
      <w:pPr>
        <w:spacing w:after="100"/>
        <w:jc w:val="left"/>
      </w:pPr>
      <w:r>
        <w:t xml:space="preserve">Expected Outputs:</w:t>
      </w:r>
    </w:p>
    <w:p>
      <w:pPr>
        <w:spacing w:after="100" w:line="360"/>
        <w:jc w:val="left"/>
      </w:pPr>
      <w:r>
        <w:t xml:space="preserve">Feasibility scorecard: for each candidate ASO, report specificity score (0-100), accessibility score, thermodynamic score (ΔG, Tm), and composite feasibility rank. Include recommendation tier (Tier 1: Advance to Validation, Tier 2: Proceed with Caution, Tier 3: Not Recommended).</w:t>
      </w:r>
    </w:p>
    <w:p>
      <w:pPr>
        <w:spacing w:after="100" w:line="360"/>
        <w:jc w:val="left"/>
      </w:pPr>
      <w:r>
        <w:t xml:space="preserve">Off-target risk report: BLAST match list, segmented by match type (perfect match, 1 mismatch, 2 mismatch, 3 mismatch). Annotate exonic vs. intronic location and functional gene category.</w:t>
      </w:r>
    </w:p>
    <w:p>
      <w:pPr>
        <w:spacing w:after="100" w:line="360"/>
        <w:jc w:val="left"/>
      </w:pPr>
      <w:r>
        <w:t xml:space="preserve">Structural accessibility analysis: RNAfold secondary structure predictions for each target region. Heatmap of nucleotide-level accessibility scores. Identify any problematic structures that might impede ASO binding.</w:t>
      </w:r>
    </w:p>
    <w:p>
      <w:pPr>
        <w:spacing w:after="100" w:line="360"/>
        <w:jc w:val="left"/>
      </w:pPr>
      <w:r>
        <w:t xml:space="preserve">Thermodynamic summary: table of Tm and ΔG values for each target gene. Highlight any outliers (e.g., target gene with significantly lower predicted affinity). Assess whether predicted potency differences match observed CRISPR rescue magnitudes.</w:t>
      </w:r>
    </w:p>
    <w:p>
      <w:pPr>
        <w:spacing w:after="100" w:line="360"/>
        <w:jc w:val="left"/>
      </w:pPr>
      <w:r>
        <w:t xml:space="preserve">Clinical confidence assessment: integration of Quiver Confidence Scoring data (CRISPR rescue magnitude, gene importance, disease unmet need) to predict probability of clinical efficacy. Risk-benefit summary.</w:t>
      </w:r>
    </w:p>
    <w:p>
      <w:pPr>
        <w:spacing w:after="200" w:line="360"/>
        <w:jc w:val="left"/>
      </w:pPr>
      <w:r>
        <w:rPr>
          <w:rFonts w:ascii="Arial" w:cs="Arial" w:eastAsia="Arial" w:hAnsi="Arial"/>
          <w:b/>
          <w:bCs/>
          <w:sz w:val="24"/>
          <w:szCs w:val="24"/>
        </w:rPr>
        <w:t xml:space="preserve">Format: </w:t>
      </w:r>
      <w:r>
        <w:rPr>
          <w:rFonts w:ascii="Arial" w:cs="Arial" w:eastAsia="Arial" w:hAnsi="Arial"/>
          <w:sz w:val="24"/>
          <w:szCs w:val="24"/>
        </w:rPr>
        <w:t xml:space="preserve">Excel scorecard with summary metrics and rankings, TSV for detailed off-target report, PDF for structure predictions and heatmaps, JSON for all quantitative scores.</w:t>
      </w:r>
    </w:p>
    <w:p>
      <w:pPr>
        <w:pStyle w:val="Heading2"/>
        <w:spacing w:before="200" w:after="200"/>
      </w:pPr>
      <w:r>
        <w:t xml:space="preserve">Stage 6: Portfolio &amp; Platform Strategy Integration</w:t>
      </w:r>
    </w:p>
    <w:p>
      <w:pPr>
        <w:spacing w:after="200" w:line="360"/>
        <w:jc w:val="left"/>
      </w:pPr>
      <w:r>
        <w:rPr>
          <w:rFonts w:ascii="Arial" w:cs="Arial" w:eastAsia="Arial" w:hAnsi="Arial"/>
          <w:b/>
          <w:bCs/>
          <w:sz w:val="24"/>
          <w:szCs w:val="24"/>
        </w:rPr>
        <w:t xml:space="preserve">Purpose: </w:t>
      </w:r>
      <w:r>
        <w:rPr>
          <w:rFonts w:ascii="Arial" w:cs="Arial" w:eastAsia="Arial" w:hAnsi="Arial"/>
          <w:sz w:val="24"/>
          <w:szCs w:val="24"/>
        </w:rPr>
        <w:t xml:space="preserve">Synthesize findings from Stages 1-5 into a strategic portfolio assessment. Evaluate commercial viability, market opportunity, competitive landscape, and strategic fit of multi-gene shared-oligo platforms. Prioritize candidates for advancement to experimental validation and clinical development based on unmet clinical need, market size, and organizational capabilities.</w:t>
      </w:r>
    </w:p>
    <w:p>
      <w:pPr>
        <w:spacing w:after="100"/>
        <w:jc w:val="left"/>
      </w:pPr>
      <w:r>
        <w:t xml:space="preserve">Inputs:</w:t>
      </w:r>
    </w:p>
    <w:p>
      <w:pPr>
        <w:spacing w:after="100" w:line="360"/>
        <w:jc w:val="left"/>
      </w:pPr>
      <w:r>
        <w:t xml:space="preserve">Comprehensive Stage 5 output: top-ranked shared ASOs, feasibility scores, off-target risk profiles</w:t>
      </w:r>
    </w:p>
    <w:p>
      <w:pPr>
        <w:spacing w:after="100" w:line="360"/>
        <w:jc w:val="left"/>
      </w:pPr>
      <w:r>
        <w:t xml:space="preserve">Disease prevalence and epidemiology data (global patient populations for each target gene disease)</w:t>
      </w:r>
    </w:p>
    <w:p>
      <w:pPr>
        <w:spacing w:after="100" w:line="360"/>
        <w:jc w:val="left"/>
      </w:pPr>
      <w:r>
        <w:t xml:space="preserve">Competitive landscape: existing approved therapies, clinical-stage programs, and unmet needs for each target gene disease</w:t>
      </w:r>
    </w:p>
    <w:p>
      <w:pPr>
        <w:spacing w:after="100" w:line="360"/>
        <w:jc w:val="left"/>
      </w:pPr>
      <w:r>
        <w:t xml:space="preserve">Organizational capabilities and asset map: internal expertise, infrastructure for ASO synthesis/testing, regulatory relationships</w:t>
      </w:r>
    </w:p>
    <w:p>
      <w:pPr>
        <w:spacing w:after="100" w:line="360"/>
        <w:jc w:val="left"/>
      </w:pPr>
      <w:r>
        <w:t xml:space="preserve">Portfolio constraints and strategic priorities: capital allocation, therapeutic focus areas, risk tolerance</w:t>
      </w:r>
    </w:p>
    <w:p>
      <w:pPr>
        <w:spacing w:after="100"/>
        <w:jc w:val="left"/>
      </w:pPr>
      <w:r>
        <w:t xml:space="preserve">Tools &amp; Databases Called:</w:t>
      </w:r>
    </w:p>
    <w:p>
      <w:pPr>
        <w:spacing w:after="100" w:line="360"/>
        <w:jc w:val="left"/>
      </w:pPr>
      <w:r>
        <w:rPr>
          <w:rFonts w:ascii="Arial" w:cs="Arial" w:eastAsia="Arial" w:hAnsi="Arial"/>
          <w:b/>
          <w:bCs/>
          <w:sz w:val="24"/>
          <w:szCs w:val="24"/>
        </w:rPr>
        <w:t xml:space="preserve">Sapphire Portfolio Scoring — </w:t>
      </w:r>
      <w:r>
        <w:rPr>
          <w:rFonts w:ascii="Arial" w:cs="Arial" w:eastAsia="Arial" w:hAnsi="Arial"/>
          <w:sz w:val="24"/>
          <w:szCs w:val="24"/>
        </w:rPr>
        <w:t xml:space="preserve">Proprietary multi-criteria decision analysis tool integrating: (1) Feasibility score from Stage 5, (2) Disease prevalence, (3) Unmet medical need (gap between current standard-of-care and disease burden), (4) Competitive intensity, (5) Patent landscape. Outputs a Portfolio Score (0-100) and Strategic Tier (Tier 1: Priority / Tier 2: Consider / Tier 3: Monitor).</w:t>
      </w:r>
    </w:p>
    <w:p>
      <w:pPr>
        <w:spacing w:after="100" w:line="360"/>
        <w:jc w:val="left"/>
      </w:pPr>
      <w:r>
        <w:rPr>
          <w:rFonts w:ascii="Arial" w:cs="Arial" w:eastAsia="Arial" w:hAnsi="Arial"/>
          <w:b/>
          <w:bCs/>
          <w:sz w:val="24"/>
          <w:szCs w:val="24"/>
        </w:rPr>
        <w:t xml:space="preserve">ClinicalTrials.gov — </w:t>
      </w:r>
      <w:r>
        <w:rPr>
          <w:rFonts w:ascii="Arial" w:cs="Arial" w:eastAsia="Arial" w:hAnsi="Arial"/>
          <w:sz w:val="24"/>
          <w:szCs w:val="24"/>
        </w:rPr>
        <w:t xml:space="preserve">Public database of registered clinical trials. Query each target disease to identify ongoing and completed trials, enrollment numbers, phase distribution, and outcome metrics. Assess clinical development velocity and patient availability for validation studies.</w:t>
      </w:r>
    </w:p>
    <w:p>
      <w:pPr>
        <w:spacing w:after="100" w:line="360"/>
        <w:jc w:val="left"/>
      </w:pPr>
      <w:r>
        <w:rPr>
          <w:rFonts w:ascii="Arial" w:cs="Arial" w:eastAsia="Arial" w:hAnsi="Arial"/>
          <w:b/>
          <w:bCs/>
          <w:sz w:val="24"/>
          <w:szCs w:val="24"/>
        </w:rPr>
        <w:t xml:space="preserve">Lens.org (Patent Search) — </w:t>
      </w:r>
      <w:r>
        <w:rPr>
          <w:rFonts w:ascii="Arial" w:cs="Arial" w:eastAsia="Arial" w:hAnsi="Arial"/>
          <w:sz w:val="24"/>
          <w:szCs w:val="24"/>
        </w:rPr>
        <w:t xml:space="preserve">Patent database providing comprehensive landscape analysis. Search patents for each target gene and ASO sequences. Identify freedom-to-operate (FTO) risks, competitor programs, and patent expiry timelines. Quantify patent protection opportunities.</w:t>
      </w:r>
    </w:p>
    <w:p>
      <w:pPr>
        <w:spacing w:after="100" w:line="360"/>
        <w:jc w:val="left"/>
      </w:pPr>
      <w:r>
        <w:rPr>
          <w:rFonts w:ascii="Arial" w:cs="Arial" w:eastAsia="Arial" w:hAnsi="Arial"/>
          <w:b/>
          <w:bCs/>
          <w:sz w:val="24"/>
          <w:szCs w:val="24"/>
        </w:rPr>
        <w:t xml:space="preserve">Quiver Confidence Scoring (contextual application) — </w:t>
      </w:r>
      <w:r>
        <w:rPr>
          <w:rFonts w:ascii="Arial" w:cs="Arial" w:eastAsia="Arial" w:hAnsi="Arial"/>
          <w:sz w:val="24"/>
          <w:szCs w:val="24"/>
        </w:rPr>
        <w:t xml:space="preserve">Re-apply confidence scores in light of commercial and strategic factors. Adjust for disease rarity, regulatory pathway accessibility (e.g., rare disease designation for premium pricing), and organizational fit.</w:t>
      </w:r>
    </w:p>
    <w:p>
      <w:pPr>
        <w:spacing w:after="100" w:line="360"/>
        <w:jc w:val="left"/>
      </w:pPr>
      <w:r>
        <w:rPr>
          <w:rFonts w:ascii="Arial" w:cs="Arial" w:eastAsia="Arial" w:hAnsi="Arial"/>
          <w:b/>
          <w:bCs/>
          <w:sz w:val="24"/>
          <w:szCs w:val="24"/>
        </w:rPr>
        <w:t xml:space="preserve">Sapphire Strategic Assessment Framework — </w:t>
      </w:r>
      <w:r>
        <w:rPr>
          <w:rFonts w:ascii="Arial" w:cs="Arial" w:eastAsia="Arial" w:hAnsi="Arial"/>
          <w:sz w:val="24"/>
          <w:szCs w:val="24"/>
        </w:rPr>
        <w:t xml:space="preserve">Custom framework integrating financial, clinical, and operational factors: projected market size (revenue opportunity), timeline to clinical entry, resource requirements, synergies with existing portfolio. Outputs prioritized recommendation.</w:t>
      </w:r>
    </w:p>
    <w:p>
      <w:pPr>
        <w:spacing w:after="100"/>
        <w:jc w:val="left"/>
      </w:pPr>
      <w:r>
        <w:t xml:space="preserve">Exemplary Sub-Prompts:</w:t>
      </w:r>
    </w:p>
    <w:p>
      <w:pPr>
        <w:spacing w:after="100" w:line="360"/>
        <w:jc w:val="left"/>
      </w:pPr>
      <w:r>
        <w:t xml:space="preserve">'Score a hypothetical shared oligo targeting DLG4, GRIN2B, and PCDH19 using Sapphire Portfolio Scoring. Consider: feasibility score (from Stage 5), combined patient population (~300,000 globally), low competitive intensity, and high unmet need. What is the portfolio tier and strategic recommendation?'</w:t>
      </w:r>
    </w:p>
    <w:p>
      <w:pPr>
        <w:spacing w:after="100" w:line="360"/>
        <w:jc w:val="left"/>
      </w:pPr>
      <w:r>
        <w:t xml:space="preserve">'Query ClinicalTrials.gov for all epilepsy and neurodevelopmental disorder trials. How many are enrolling patients with mutations in CDKL5, PCDH19, or DLG4? Estimate total trial capacity and enrollment rates. Is there sufficient clinical infrastructure to validate a shared ASO?'</w:t>
      </w:r>
    </w:p>
    <w:p>
      <w:pPr>
        <w:spacing w:after="100" w:line="360"/>
        <w:jc w:val="left"/>
      </w:pPr>
      <w:r>
        <w:t xml:space="preserve">'Perform a patent landscape search on Lens.org for ASOs targeting GRIN2B, CDKL5, and PCDH19. Are there pending patent applications by competitors? What is the freedom-to-operate window before competitor patent expiry?'</w:t>
      </w:r>
    </w:p>
    <w:p>
      <w:pPr>
        <w:spacing w:after="100"/>
        <w:jc w:val="left"/>
      </w:pPr>
      <w:r>
        <w:t xml:space="preserve">Expected Outputs:</w:t>
      </w:r>
    </w:p>
    <w:p>
      <w:pPr>
        <w:spacing w:after="100" w:line="360"/>
        <w:jc w:val="left"/>
      </w:pPr>
      <w:r>
        <w:t xml:space="preserve">Strategic recommendation: clear Go / No-Go decision for each candidate shared-oligo platform. Justification: combined feasibility, market size, unmet need, competitive risk, and internal alignment.</w:t>
      </w:r>
    </w:p>
    <w:p>
      <w:pPr>
        <w:spacing w:after="100" w:line="360"/>
        <w:jc w:val="left"/>
      </w:pPr>
      <w:r>
        <w:t xml:space="preserve">Portfolio scorecard: tier assignment (Tier 1 / 2 / 3) for each candidate, with sub-scores for technical feasibility, market attractiveness, strategic fit, and risk profile. Comparison to existing portfolio assets.</w:t>
      </w:r>
    </w:p>
    <w:p>
      <w:pPr>
        <w:spacing w:after="100" w:line="360"/>
        <w:jc w:val="left"/>
      </w:pPr>
      <w:r>
        <w:t xml:space="preserve">Market opportunity summary: estimated global patient population (addressable market), geographic distribution, historical pricing benchmarks for similar genetic diseases, revenue projections (10-year), and penetration assumptions.</w:t>
      </w:r>
    </w:p>
    <w:p>
      <w:pPr>
        <w:spacing w:after="100" w:line="360"/>
        <w:jc w:val="left"/>
      </w:pPr>
      <w:r>
        <w:t xml:space="preserve">Competitive intelligence: table of competitors with similar programs, their clinical stage, patent coverage, and market strategy. Identify white space and differentiation opportunities.</w:t>
      </w:r>
    </w:p>
    <w:p>
      <w:pPr>
        <w:spacing w:after="100" w:line="360"/>
        <w:jc w:val="left"/>
      </w:pPr>
      <w:r>
        <w:t xml:space="preserve">Resource and capability assessment: required investments for validation (animal models, patient-derived cell lines, manufacturing at scale), timeline to clinical entry (18-24 months typical), and organizational readiness.</w:t>
      </w:r>
    </w:p>
    <w:p>
      <w:pPr>
        <w:spacing w:after="100" w:line="360"/>
        <w:jc w:val="left"/>
      </w:pPr>
      <w:r>
        <w:t xml:space="preserve">Prioritized advancement roadmap: phased plan for top-ranked candidates, including milestones, decision gates, and resource allocation across the next 3-5 years.</w:t>
      </w:r>
    </w:p>
    <w:p>
      <w:pPr>
        <w:spacing w:after="200" w:line="360"/>
        <w:jc w:val="left"/>
      </w:pPr>
      <w:r>
        <w:rPr>
          <w:rFonts w:ascii="Arial" w:cs="Arial" w:eastAsia="Arial" w:hAnsi="Arial"/>
          <w:b/>
          <w:bCs/>
          <w:sz w:val="24"/>
          <w:szCs w:val="24"/>
        </w:rPr>
        <w:t xml:space="preserve">Format: </w:t>
      </w:r>
      <w:r>
        <w:rPr>
          <w:rFonts w:ascii="Arial" w:cs="Arial" w:eastAsia="Arial" w:hAnsi="Arial"/>
          <w:sz w:val="24"/>
          <w:szCs w:val="24"/>
        </w:rPr>
        <w:t xml:space="preserve">Executive summary (2-3 pages), strategic recommendations (tiered, with narrative justification), market analysis tables (TSV/Excel), competitive landscape visualization (Venn diagram or feature matrix), roadmap (Gantt chart or milestone timeline), all in PDF and supporting Excel/JSON.</w:t>
      </w:r>
    </w:p>
    <w:p>
      <w:pPr>
        <w:pStyle w:val="Heading2"/>
        <w:spacing w:before="200" w:after="200"/>
      </w:pPr>
      <w:r>
        <w:t xml:space="preserve">Tools &amp; Databases Summary</w:t>
      </w:r>
    </w:p>
    <w:p>
      <w:pPr>
        <w:spacing w:after="100" w:line="360"/>
        <w:jc w:val="left"/>
      </w:pPr>
      <w:r>
        <w:rPr>
          <w:rFonts w:ascii="Arial" w:cs="Arial" w:eastAsia="Arial" w:hAnsi="Arial"/>
          <w:b/>
          <w:bCs/>
          <w:sz w:val="24"/>
          <w:szCs w:val="24"/>
        </w:rPr>
        <w:t xml:space="preserve">Quiver CRISPR EP Atlas — </w:t>
      </w:r>
      <w:r>
        <w:rPr>
          <w:rFonts w:ascii="Arial" w:cs="Arial" w:eastAsia="Arial" w:hAnsi="Arial"/>
          <w:sz w:val="24"/>
          <w:szCs w:val="24"/>
        </w:rPr>
        <w:t xml:space="preserve">Proprietary high-throughput electrophysiology database from automated patch-clamp recordings in CRISPR-perturbed cell lines. Core resource for Stage 1.</w:t>
      </w:r>
    </w:p>
    <w:p>
      <w:pPr>
        <w:spacing w:after="100" w:line="360"/>
        <w:jc w:val="left"/>
      </w:pPr>
      <w:r>
        <w:rPr>
          <w:rFonts w:ascii="Arial" w:cs="Arial" w:eastAsia="Arial" w:hAnsi="Arial"/>
          <w:b/>
          <w:bCs/>
          <w:sz w:val="24"/>
          <w:szCs w:val="24"/>
        </w:rPr>
        <w:t xml:space="preserve">Quiver Transcriptomic Module — </w:t>
      </w:r>
      <w:r>
        <w:rPr>
          <w:rFonts w:ascii="Arial" w:cs="Arial" w:eastAsia="Arial" w:hAnsi="Arial"/>
          <w:sz w:val="24"/>
          <w:szCs w:val="24"/>
        </w:rPr>
        <w:t xml:space="preserve">Curated bulk and single-cell RNA-seq profiles linked to CRISPR perturbations, DESeq2-normalized counts, batch-corrected matrices. Primary input for Stages 1-2.</w:t>
      </w:r>
    </w:p>
    <w:p>
      <w:pPr>
        <w:spacing w:after="100" w:line="360"/>
        <w:jc w:val="left"/>
      </w:pPr>
      <w:r>
        <w:rPr>
          <w:rFonts w:ascii="Arial" w:cs="Arial" w:eastAsia="Arial" w:hAnsi="Arial"/>
          <w:b/>
          <w:bCs/>
          <w:sz w:val="24"/>
          <w:szCs w:val="24"/>
        </w:rPr>
        <w:t xml:space="preserve">Quiver EP Similarity Engine — </w:t>
      </w:r>
      <w:r>
        <w:rPr>
          <w:rFonts w:ascii="Arial" w:cs="Arial" w:eastAsia="Arial" w:hAnsi="Arial"/>
          <w:sz w:val="24"/>
          <w:szCs w:val="24"/>
        </w:rPr>
        <w:t xml:space="preserve">High-performance indexing of pre-computed EP signature similarities across 12,000+ genes. Enables &lt;1 second full-genome ranking in Stage 2.</w:t>
      </w:r>
    </w:p>
    <w:p>
      <w:pPr>
        <w:spacing w:after="100" w:line="360"/>
        <w:jc w:val="left"/>
      </w:pPr>
      <w:r>
        <w:rPr>
          <w:rFonts w:ascii="Arial" w:cs="Arial" w:eastAsia="Arial" w:hAnsi="Arial"/>
          <w:b/>
          <w:bCs/>
          <w:sz w:val="24"/>
          <w:szCs w:val="24"/>
        </w:rPr>
        <w:t xml:space="preserve">Quiver Transcriptomic Correlation Module — </w:t>
      </w:r>
      <w:r>
        <w:rPr>
          <w:rFonts w:ascii="Arial" w:cs="Arial" w:eastAsia="Arial" w:hAnsi="Arial"/>
          <w:sz w:val="24"/>
          <w:szCs w:val="24"/>
        </w:rPr>
        <w:t xml:space="preserve">Pre-computed or on-demand Pearson/Spearman correlations between DEG signatures across all gene pairs. Supports rapid cross-gene filtering in Stage 2.</w:t>
      </w:r>
    </w:p>
    <w:p>
      <w:pPr>
        <w:spacing w:after="100" w:line="360"/>
        <w:jc w:val="left"/>
      </w:pPr>
      <w:r>
        <w:rPr>
          <w:rFonts w:ascii="Arial" w:cs="Arial" w:eastAsia="Arial" w:hAnsi="Arial"/>
          <w:b/>
          <w:bCs/>
          <w:sz w:val="24"/>
          <w:szCs w:val="24"/>
        </w:rPr>
        <w:t xml:space="preserve">Quiver ASO Design Module — </w:t>
      </w:r>
      <w:r>
        <w:rPr>
          <w:rFonts w:ascii="Arial" w:cs="Arial" w:eastAsia="Arial" w:hAnsi="Arial"/>
          <w:sz w:val="24"/>
          <w:szCs w:val="24"/>
        </w:rPr>
        <w:t xml:space="preserve">Proprietary design tool for optimizing ASO sequences given transcript and constraints. Evaluates specificity, structure, binding affinity. Used in Stages 4-5.</w:t>
      </w:r>
    </w:p>
    <w:p>
      <w:pPr>
        <w:spacing w:after="100" w:line="360"/>
        <w:jc w:val="left"/>
      </w:pPr>
      <w:r>
        <w:rPr>
          <w:rFonts w:ascii="Arial" w:cs="Arial" w:eastAsia="Arial" w:hAnsi="Arial"/>
          <w:b/>
          <w:bCs/>
          <w:sz w:val="24"/>
          <w:szCs w:val="24"/>
        </w:rPr>
        <w:t xml:space="preserve">Quiver Confidence Scoring — </w:t>
      </w:r>
      <w:r>
        <w:rPr>
          <w:rFonts w:ascii="Arial" w:cs="Arial" w:eastAsia="Arial" w:hAnsi="Arial"/>
          <w:sz w:val="24"/>
          <w:szCs w:val="24"/>
        </w:rPr>
        <w:t xml:space="preserve">Composite metric integrating Quiver experimental validation data, CRISPR rescue magnitude, disease severity. Supports Stages 5-6.</w:t>
      </w:r>
    </w:p>
    <w:p>
      <w:pPr>
        <w:spacing w:after="100" w:line="360"/>
        <w:jc w:val="left"/>
      </w:pPr>
      <w:r>
        <w:rPr>
          <w:rFonts w:ascii="Arial" w:cs="Arial" w:eastAsia="Arial" w:hAnsi="Arial"/>
          <w:b/>
          <w:bCs/>
          <w:sz w:val="24"/>
          <w:szCs w:val="24"/>
        </w:rPr>
        <w:t xml:space="preserve">STRING (Protein-Protein Interactions) — </w:t>
      </w:r>
      <w:r>
        <w:rPr>
          <w:rFonts w:ascii="Arial" w:cs="Arial" w:eastAsia="Arial" w:hAnsi="Arial"/>
          <w:sz w:val="24"/>
          <w:szCs w:val="24"/>
        </w:rPr>
        <w:t xml:space="preserve">Comprehensive PPI database with pre-computed interaction networks. Maps functional relationships between index and candidate genes in Stage 3.</w:t>
      </w:r>
    </w:p>
    <w:p>
      <w:pPr>
        <w:spacing w:after="100" w:line="360"/>
        <w:jc w:val="left"/>
      </w:pPr>
      <w:r>
        <w:rPr>
          <w:rFonts w:ascii="Arial" w:cs="Arial" w:eastAsia="Arial" w:hAnsi="Arial"/>
          <w:b/>
          <w:bCs/>
          <w:sz w:val="24"/>
          <w:szCs w:val="24"/>
        </w:rPr>
        <w:t xml:space="preserve">KEGG (Pathway Database) — </w:t>
      </w:r>
      <w:r>
        <w:rPr>
          <w:rFonts w:ascii="Arial" w:cs="Arial" w:eastAsia="Arial" w:hAnsi="Arial"/>
          <w:sz w:val="24"/>
          <w:szCs w:val="24"/>
        </w:rPr>
        <w:t xml:space="preserve">Curated pathway database covering signal transduction, metabolism, disease mechanisms. Enables enrichment analysis and pathway convergence in Stage 3.</w:t>
      </w:r>
    </w:p>
    <w:p>
      <w:pPr>
        <w:spacing w:after="100" w:line="360"/>
        <w:jc w:val="left"/>
      </w:pPr>
      <w:r>
        <w:rPr>
          <w:rFonts w:ascii="Arial" w:cs="Arial" w:eastAsia="Arial" w:hAnsi="Arial"/>
          <w:b/>
          <w:bCs/>
          <w:sz w:val="24"/>
          <w:szCs w:val="24"/>
        </w:rPr>
        <w:t xml:space="preserve">Reactome — </w:t>
      </w:r>
      <w:r>
        <w:rPr>
          <w:rFonts w:ascii="Arial" w:cs="Arial" w:eastAsia="Arial" w:hAnsi="Arial"/>
          <w:sz w:val="24"/>
          <w:szCs w:val="24"/>
        </w:rPr>
        <w:t xml:space="preserve">High-resolution human pathway database. Provides functional specificity for mechanistic analysis in Stage 3.</w:t>
      </w:r>
    </w:p>
    <w:p>
      <w:pPr>
        <w:spacing w:after="100" w:line="360"/>
        <w:jc w:val="left"/>
      </w:pPr>
      <w:r>
        <w:rPr>
          <w:rFonts w:ascii="Arial" w:cs="Arial" w:eastAsia="Arial" w:hAnsi="Arial"/>
          <w:b/>
          <w:bCs/>
          <w:sz w:val="24"/>
          <w:szCs w:val="24"/>
        </w:rPr>
        <w:t xml:space="preserve">Gene Ontology (GO) — </w:t>
      </w:r>
      <w:r>
        <w:rPr>
          <w:rFonts w:ascii="Arial" w:cs="Arial" w:eastAsia="Arial" w:hAnsi="Arial"/>
          <w:sz w:val="24"/>
          <w:szCs w:val="24"/>
        </w:rPr>
        <w:t xml:space="preserve">Controlled vocabulary for biological processes, cellular components, molecular functions. GO enrichment analysis supports Stage 3 convergence assessment.</w:t>
      </w:r>
    </w:p>
    <w:p>
      <w:pPr>
        <w:spacing w:after="100" w:line="360"/>
        <w:jc w:val="left"/>
      </w:pPr>
      <w:r>
        <w:rPr>
          <w:rFonts w:ascii="Arial" w:cs="Arial" w:eastAsia="Arial" w:hAnsi="Arial"/>
          <w:b/>
          <w:bCs/>
          <w:sz w:val="24"/>
          <w:szCs w:val="24"/>
        </w:rPr>
        <w:t xml:space="preserve">DisGeNET — </w:t>
      </w:r>
      <w:r>
        <w:rPr>
          <w:rFonts w:ascii="Arial" w:cs="Arial" w:eastAsia="Arial" w:hAnsi="Arial"/>
          <w:sz w:val="24"/>
          <w:szCs w:val="24"/>
        </w:rPr>
        <w:t xml:space="preserve">Gene-disease association database. Retrieves disease annotations for candidate genes and their convergence with index gene diseases in Stage 3.</w:t>
      </w:r>
    </w:p>
    <w:p>
      <w:pPr>
        <w:spacing w:after="100" w:line="360"/>
        <w:jc w:val="left"/>
      </w:pPr>
      <w:r>
        <w:rPr>
          <w:rFonts w:ascii="Arial" w:cs="Arial" w:eastAsia="Arial" w:hAnsi="Arial"/>
          <w:b/>
          <w:bCs/>
          <w:sz w:val="24"/>
          <w:szCs w:val="24"/>
        </w:rPr>
        <w:t xml:space="preserve">OMIM (Mendelian Inheritance) — </w:t>
      </w:r>
      <w:r>
        <w:rPr>
          <w:rFonts w:ascii="Arial" w:cs="Arial" w:eastAsia="Arial" w:hAnsi="Arial"/>
          <w:sz w:val="24"/>
          <w:szCs w:val="24"/>
        </w:rPr>
        <w:t xml:space="preserve">Authoritative resource for human genetic disorders and disease mechanisms. Manual curation in Stage 3 for mechanistic validation.</w:t>
      </w:r>
    </w:p>
    <w:p>
      <w:pPr>
        <w:spacing w:after="100" w:line="360"/>
        <w:jc w:val="left"/>
      </w:pPr>
      <w:r>
        <w:rPr>
          <w:rFonts w:ascii="Arial" w:cs="Arial" w:eastAsia="Arial" w:hAnsi="Arial"/>
          <w:b/>
          <w:bCs/>
          <w:sz w:val="24"/>
          <w:szCs w:val="24"/>
        </w:rPr>
        <w:t xml:space="preserve">BLAST/BLAT — </w:t>
      </w:r>
      <w:r>
        <w:rPr>
          <w:rFonts w:ascii="Arial" w:cs="Arial" w:eastAsia="Arial" w:hAnsi="Arial"/>
          <w:sz w:val="24"/>
          <w:szCs w:val="24"/>
        </w:rPr>
        <w:t xml:space="preserve">Sequence alignment tools for identifying homology regions and shared target sites across candidate genes in Stage 4.</w:t>
      </w:r>
    </w:p>
    <w:p>
      <w:pPr>
        <w:spacing w:after="100" w:line="360"/>
        <w:jc w:val="left"/>
      </w:pPr>
      <w:r>
        <w:rPr>
          <w:rFonts w:ascii="Arial" w:cs="Arial" w:eastAsia="Arial" w:hAnsi="Arial"/>
          <w:b/>
          <w:bCs/>
          <w:sz w:val="24"/>
          <w:szCs w:val="24"/>
        </w:rPr>
        <w:t xml:space="preserve">Ensembl Compara — </w:t>
      </w:r>
      <w:r>
        <w:rPr>
          <w:rFonts w:ascii="Arial" w:cs="Arial" w:eastAsia="Arial" w:hAnsi="Arial"/>
          <w:sz w:val="24"/>
          <w:szCs w:val="24"/>
        </w:rPr>
        <w:t xml:space="preserve">Comparative genomics database with pre-computed MSAs and conservation scores. Identifies conserved exonic targets in Stage 4.</w:t>
      </w:r>
    </w:p>
    <w:p>
      <w:pPr>
        <w:spacing w:after="100" w:line="360"/>
        <w:jc w:val="left"/>
      </w:pPr>
      <w:r>
        <w:rPr>
          <w:rFonts w:ascii="Arial" w:cs="Arial" w:eastAsia="Arial" w:hAnsi="Arial"/>
          <w:b/>
          <w:bCs/>
          <w:sz w:val="24"/>
          <w:szCs w:val="24"/>
        </w:rPr>
        <w:t xml:space="preserve">Clustal Omega — </w:t>
      </w:r>
      <w:r>
        <w:rPr>
          <w:rFonts w:ascii="Arial" w:cs="Arial" w:eastAsia="Arial" w:hAnsi="Arial"/>
          <w:sz w:val="24"/>
          <w:szCs w:val="24"/>
        </w:rPr>
        <w:t xml:space="preserve">Multiple sequence alignment tool for precise alignment and conservation profiling of candidate sequences in Stage 4.</w:t>
      </w:r>
    </w:p>
    <w:p>
      <w:pPr>
        <w:spacing w:after="100" w:line="360"/>
        <w:jc w:val="left"/>
      </w:pPr>
      <w:r>
        <w:rPr>
          <w:rFonts w:ascii="Arial" w:cs="Arial" w:eastAsia="Arial" w:hAnsi="Arial"/>
          <w:b/>
          <w:bCs/>
          <w:sz w:val="24"/>
          <w:szCs w:val="24"/>
        </w:rPr>
        <w:t xml:space="preserve">Ensembl REST API — </w:t>
      </w:r>
      <w:r>
        <w:rPr>
          <w:rFonts w:ascii="Arial" w:cs="Arial" w:eastAsia="Arial" w:hAnsi="Arial"/>
          <w:sz w:val="24"/>
          <w:szCs w:val="24"/>
        </w:rPr>
        <w:t xml:space="preserve">Programmatic transcript annotation retrieval. Enables systematic comparison of genomic contexts across genes in Stage 4.</w:t>
      </w:r>
    </w:p>
    <w:p>
      <w:pPr>
        <w:spacing w:after="100" w:line="360"/>
        <w:jc w:val="left"/>
      </w:pPr>
      <w:r>
        <w:rPr>
          <w:rFonts w:ascii="Arial" w:cs="Arial" w:eastAsia="Arial" w:hAnsi="Arial"/>
          <w:b/>
          <w:bCs/>
          <w:sz w:val="24"/>
          <w:szCs w:val="24"/>
        </w:rPr>
        <w:t xml:space="preserve">RNAfold (Vienna RNA) — </w:t>
      </w:r>
      <w:r>
        <w:rPr>
          <w:rFonts w:ascii="Arial" w:cs="Arial" w:eastAsia="Arial" w:hAnsi="Arial"/>
          <w:sz w:val="24"/>
          <w:szCs w:val="24"/>
        </w:rPr>
        <w:t xml:space="preserve">Secondary structure prediction for RNA targets. Assesses accessibility and binding feasibility in Stage 5.</w:t>
      </w:r>
    </w:p>
    <w:p>
      <w:pPr>
        <w:spacing w:after="100" w:line="360"/>
        <w:jc w:val="left"/>
      </w:pPr>
      <w:r>
        <w:rPr>
          <w:rFonts w:ascii="Arial" w:cs="Arial" w:eastAsia="Arial" w:hAnsi="Arial"/>
          <w:b/>
          <w:bCs/>
          <w:sz w:val="24"/>
          <w:szCs w:val="24"/>
        </w:rPr>
        <w:t xml:space="preserve">NUPACK / OligoTm — </w:t>
      </w:r>
      <w:r>
        <w:rPr>
          <w:rFonts w:ascii="Arial" w:cs="Arial" w:eastAsia="Arial" w:hAnsi="Arial"/>
          <w:sz w:val="24"/>
          <w:szCs w:val="24"/>
        </w:rPr>
        <w:t xml:space="preserve">Thermodynamic binding calculations for ASO-target duplexes. Computes Tm and ΔG in Stage 5.</w:t>
      </w:r>
    </w:p>
    <w:p>
      <w:pPr>
        <w:spacing w:after="100" w:line="360"/>
        <w:jc w:val="left"/>
      </w:pPr>
      <w:r>
        <w:rPr>
          <w:rFonts w:ascii="Arial" w:cs="Arial" w:eastAsia="Arial" w:hAnsi="Arial"/>
          <w:b/>
          <w:bCs/>
          <w:sz w:val="24"/>
          <w:szCs w:val="24"/>
        </w:rPr>
        <w:t xml:space="preserve">Sapphire Portfolio Scoring — </w:t>
      </w:r>
      <w:r>
        <w:rPr>
          <w:rFonts w:ascii="Arial" w:cs="Arial" w:eastAsia="Arial" w:hAnsi="Arial"/>
          <w:sz w:val="24"/>
          <w:szCs w:val="24"/>
        </w:rPr>
        <w:t xml:space="preserve">Multi-criteria decision analysis integrating feasibility, prevalence, unmet need, competition, patents. Strategic prioritization in Stage 6.</w:t>
      </w:r>
    </w:p>
    <w:p>
      <w:pPr>
        <w:spacing w:after="100" w:line="360"/>
        <w:jc w:val="left"/>
      </w:pPr>
      <w:r>
        <w:rPr>
          <w:rFonts w:ascii="Arial" w:cs="Arial" w:eastAsia="Arial" w:hAnsi="Arial"/>
          <w:b/>
          <w:bCs/>
          <w:sz w:val="24"/>
          <w:szCs w:val="24"/>
        </w:rPr>
        <w:t xml:space="preserve">ClinicalTrials.gov — </w:t>
      </w:r>
      <w:r>
        <w:rPr>
          <w:rFonts w:ascii="Arial" w:cs="Arial" w:eastAsia="Arial" w:hAnsi="Arial"/>
          <w:sz w:val="24"/>
          <w:szCs w:val="24"/>
        </w:rPr>
        <w:t xml:space="preserve">Public clinical trial registry. Assesses clinical trial infrastructure and patient availability for target diseases in Stage 6.</w:t>
      </w:r>
    </w:p>
    <w:p>
      <w:pPr>
        <w:spacing w:after="100" w:line="360"/>
        <w:jc w:val="left"/>
      </w:pPr>
      <w:r>
        <w:rPr>
          <w:rFonts w:ascii="Arial" w:cs="Arial" w:eastAsia="Arial" w:hAnsi="Arial"/>
          <w:b/>
          <w:bCs/>
          <w:sz w:val="24"/>
          <w:szCs w:val="24"/>
        </w:rPr>
        <w:t xml:space="preserve">Lens.org (Patent Search) — </w:t>
      </w:r>
      <w:r>
        <w:rPr>
          <w:rFonts w:ascii="Arial" w:cs="Arial" w:eastAsia="Arial" w:hAnsi="Arial"/>
          <w:sz w:val="24"/>
          <w:szCs w:val="24"/>
        </w:rPr>
        <w:t xml:space="preserve">Patent landscape database. FTO analysis and competitive patent intelligence in Stage 6.</w:t>
      </w:r>
    </w:p>
    <w:p>
      <w:pPr>
        <w:spacing w:after="100" w:line="360"/>
        <w:jc w:val="left"/>
      </w:pPr>
      <w:r>
        <w:rPr>
          <w:rFonts w:ascii="Arial" w:cs="Arial" w:eastAsia="Arial" w:hAnsi="Arial"/>
          <w:b/>
          <w:bCs/>
          <w:sz w:val="24"/>
          <w:szCs w:val="24"/>
        </w:rPr>
        <w:t xml:space="preserve">Sapphire Strategic Assessment Framework — </w:t>
      </w:r>
      <w:r>
        <w:rPr>
          <w:rFonts w:ascii="Arial" w:cs="Arial" w:eastAsia="Arial" w:hAnsi="Arial"/>
          <w:sz w:val="24"/>
          <w:szCs w:val="24"/>
        </w:rPr>
        <w:t xml:space="preserve">Custom framework integrating financial, clinical, operational factors for portfolio prioritization in Stage 6.</w:t>
      </w:r>
    </w:p>
    <w:p>
      <w:pPr>
        <w:spacing w:after="100" w:line="360"/>
        <w:jc w:val="left"/>
      </w:pPr>
      <w:r>
        <w:rPr>
          <w:rFonts w:ascii="Arial" w:cs="Arial" w:eastAsia="Arial" w:hAnsi="Arial"/>
          <w:b/>
          <w:bCs/>
          <w:sz w:val="24"/>
          <w:szCs w:val="24"/>
        </w:rPr>
        <w:t xml:space="preserve">scikit-learn (Python) — </w:t>
      </w:r>
      <w:r>
        <w:rPr>
          <w:rFonts w:ascii="Arial" w:cs="Arial" w:eastAsia="Arial" w:hAnsi="Arial"/>
          <w:sz w:val="24"/>
          <w:szCs w:val="24"/>
        </w:rPr>
        <w:t xml:space="preserve">ML library for PCA/UMAP dimensionality reduction, clustering, and visualization of high-dimensional signatures in Stage 2.</w:t>
      </w:r>
    </w:p>
    <w:p>
      <w:pPr>
        <w:spacing w:after="100" w:line="360"/>
        <w:jc w:val="left"/>
      </w:pPr>
      <w:r>
        <w:rPr>
          <w:rFonts w:ascii="Arial" w:cs="Arial" w:eastAsia="Arial" w:hAnsi="Arial"/>
          <w:b/>
          <w:bCs/>
          <w:sz w:val="24"/>
          <w:szCs w:val="24"/>
        </w:rPr>
        <w:t xml:space="preserve">scipy.spatial.distance — </w:t>
      </w:r>
      <w:r>
        <w:rPr>
          <w:rFonts w:ascii="Arial" w:cs="Arial" w:eastAsia="Arial" w:hAnsi="Arial"/>
          <w:sz w:val="24"/>
          <w:szCs w:val="24"/>
        </w:rPr>
        <w:t xml:space="preserve">Optimized distance metrics (cosine, Euclidean, correlation) for rapid pairwise similarity computation in Stage 2.</w:t>
      </w:r>
    </w:p>
    <w:p>
      <w:pPr>
        <w:spacing w:after="100" w:line="360"/>
        <w:jc w:val="left"/>
      </w:pPr>
      <w:r>
        <w:rPr>
          <w:rFonts w:ascii="Arial" w:cs="Arial" w:eastAsia="Arial" w:hAnsi="Arial"/>
          <w:b/>
          <w:bCs/>
          <w:sz w:val="24"/>
          <w:szCs w:val="24"/>
        </w:rPr>
        <w:t xml:space="preserve">DESeq2 (R/Bioconductor) — </w:t>
      </w:r>
      <w:r>
        <w:rPr>
          <w:rFonts w:ascii="Arial" w:cs="Arial" w:eastAsia="Arial" w:hAnsi="Arial"/>
          <w:sz w:val="24"/>
          <w:szCs w:val="24"/>
        </w:rPr>
        <w:t xml:space="preserve">Differential expression analysis framework for normalizing RNA-seq counts, computing log-fold-changes, FDR-corrected significance in Stage 1.</w:t>
      </w:r>
    </w:p>
    <w:p>
      <w:pPr>
        <w:spacing w:after="100" w:line="360"/>
        <w:jc w:val="left"/>
      </w:pPr>
      <w:r>
        <w:rPr>
          <w:rFonts w:ascii="Arial" w:cs="Arial" w:eastAsia="Arial" w:hAnsi="Arial"/>
          <w:b/>
          <w:bCs/>
          <w:sz w:val="24"/>
          <w:szCs w:val="24"/>
        </w:rPr>
        <w:t xml:space="preserve">igv.js / Custom Visualization — </w:t>
      </w:r>
      <w:r>
        <w:rPr>
          <w:rFonts w:ascii="Arial" w:cs="Arial" w:eastAsia="Arial" w:hAnsi="Arial"/>
          <w:sz w:val="24"/>
          <w:szCs w:val="24"/>
        </w:rPr>
        <w:t xml:space="preserve">Quick visualizations of EP traces, raster plots, expression heatmaps, QC plots in Stage 1.</w:t>
      </w:r>
    </w:p>
    <w:p>
      <w:pPr>
        <w:spacing w:after="100" w:line="360"/>
        <w:jc w:val="left"/>
      </w:pPr>
      <w:r>
        <w:rPr>
          <w:rFonts w:ascii="Arial" w:cs="Arial" w:eastAsia="Arial" w:hAnsi="Arial"/>
          <w:b/>
          <w:bCs/>
          <w:sz w:val="24"/>
          <w:szCs w:val="24"/>
        </w:rPr>
        <w:t xml:space="preserve">Internal EP Feature Extraction Pipeline — </w:t>
      </w:r>
      <w:r>
        <w:rPr>
          <w:rFonts w:ascii="Arial" w:cs="Arial" w:eastAsia="Arial" w:hAnsi="Arial"/>
          <w:sz w:val="24"/>
          <w:szCs w:val="24"/>
        </w:rPr>
        <w:t xml:space="preserve">Custom bioinformatics for standardized EP metrics (AP threshold, RMP, firing rate, burst frequency, synchrony). Core to Stage 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pPr>
    <w:rPr>
      <w:rFonts w:ascii="Arial" w:cs="Arial" w:eastAsia="Arial" w:hAnsi="Arial"/>
      <w:b/>
      <w:bCs/>
      <w:sz w:val="32"/>
      <w:szCs w:val="32"/>
    </w:rPr>
  </w:style>
  <w:style w:type="paragraph" w:styleId="Heading2">
    <w:name w:val="Heading 2"/>
    <w:basedOn w:val="Normal"/>
    <w:next w:val="Normal"/>
    <w:qFormat/>
    <w:pPr>
      <w:spacing w:before="200" w:after="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2026-02-18T21:18:49.501Z</dcterms:created>
  <dcterms:modified xsi:type="dcterms:W3CDTF">2026-02-18T21:18:49.502Z</dcterms:modified>
</cp:coreProperties>
</file>

<file path=docProps/custom.xml><?xml version="1.0" encoding="utf-8"?>
<Properties xmlns="http://schemas.openxmlformats.org/officeDocument/2006/custom-properties" xmlns:vt="http://schemas.openxmlformats.org/officeDocument/2006/docPropsVTypes"/>
</file>