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240"/>
      </w:pPr>
      <w:r>
        <w:t xml:space="preserve">Sapphire Pipeline Workflow</w:t>
      </w:r>
    </w:p>
    <w:p>
      <w:pPr>
        <w:pStyle w:val="Heading2"/>
        <w:spacing w:before="200" w:after="200"/>
      </w:pPr>
      <w:r>
        <w:t xml:space="preserve">Prompt: "Does this transcript display features that increase probability of success? (e.g., long half-life, accessible RNase H sites, favorable exon/intron architecture)"</w:t>
      </w:r>
    </w:p>
    <w:p>
      <w:pPr>
        <w:spacing w:after="300" w:line="360"/>
      </w:pPr>
      <w:r>
        <w:rPr>
          <w:rFonts w:ascii="Arial" w:cs="Arial" w:eastAsia="Arial" w:hAnsi="Arial"/>
          <w:sz w:val="24"/>
          <w:szCs w:val="24"/>
        </w:rPr>
        <w:t xml:space="preserve">This document defines the complete Sapphire pipeline — the sequential stages, tools called, external datasets used, inputs, outputs, and decision logic — required to deliver a valid, actionable answer to this prompt.</w:t>
      </w:r>
    </w:p>
    <w:p>
      <w:pPr>
        <w:pStyle w:val="Heading2"/>
        <w:spacing w:before="200" w:after="200"/>
      </w:pPr>
      <w:r>
        <w:t xml:space="preserve">Pipeline Overview</w:t>
      </w:r>
    </w:p>
    <w:p>
      <w:pPr>
        <w:spacing w:after="300" w:line="360"/>
      </w:pPr>
      <w:r>
        <w:rPr>
          <w:rFonts w:ascii="Arial" w:cs="Arial" w:eastAsia="Arial" w:hAnsi="Arial"/>
          <w:sz w:val="24"/>
          <w:szCs w:val="24"/>
        </w:rPr>
        <w:t xml:space="preserve">The Sapphire Pipeline is a six-stage computational and data integration workflow designed to assess whether a given transcript possesses molecular features that predict success as an antisense oligonucleotide (ASO) therapeutic target. Each stage builds upon the previous one, progressing from raw sequence retrieval through structural annotation, stability assessment, accessibility analysis, and finally to integrated druggability scoring.</w:t>
      </w:r>
    </w:p>
    <w:p>
      <w:pPr>
        <w:spacing w:after="300" w:line="360"/>
      </w:pPr>
      <w:r>
        <w:rPr>
          <w:rFonts w:ascii="Arial" w:cs="Arial" w:eastAsia="Arial" w:hAnsi="Arial"/>
          <w:sz w:val="24"/>
          <w:szCs w:val="24"/>
        </w:rPr>
        <w:t xml:space="preserve">Key success features evaluated include mRNA half-life (longer-lived transcripts accumulate more ASO-target complexes), RNase H accessibility (structural occlusion blocks cleavage), exon/intron architecture (splice-modulation feasibility), and empirical comparison against clinically validated ASO drugs (nusinersen, tofersen, inotersen). The pipeline produces a 0–100 druggability score with Go/No-Go recommendations for therapeutic advancement.</w:t>
      </w:r>
    </w:p>
    <w:p>
      <w:pPr>
        <w:pStyle w:val="Heading2"/>
        <w:spacing w:before="200" w:after="200"/>
      </w:pPr>
      <w:r>
        <w:t xml:space="preserve">Stage 1: Transcript Retrieval &amp; Structural Annotation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Retrieve full pre-mRNA and mRNA sequences, exon-intron architecture, UTR lengths, alternative polyadenylation sites.</w:t>
      </w:r>
    </w:p>
    <w:p>
      <w:pPr>
        <w:spacing w:after="100" w:line="360"/>
      </w:pPr>
      <w:r>
        <w:rPr>
          <w:rFonts w:ascii="Arial" w:cs="Arial" w:eastAsia="Arial" w:hAnsi="Arial"/>
          <w:b/>
          <w:bCs/>
          <w:sz w:val="24"/>
          <w:szCs w:val="24"/>
        </w:rPr>
        <w:t xml:space="preserve">Inputs:</w:t>
      </w:r>
    </w:p>
    <w:p>
      <w:pPr>
        <w:pStyle w:val="ListParagraph"/>
        <w:numPr>
          <w:ilvl w:val="0"/>
          <w:numId w:val="0"/>
        </w:numPr>
        <w:spacing w:after="100" w:line="360"/>
      </w:pPr>
      <w:r>
        <w:rPr>
          <w:rFonts w:ascii="Arial" w:cs="Arial" w:eastAsia="Arial" w:hAnsi="Arial"/>
          <w:sz w:val="24"/>
          <w:szCs w:val="24"/>
        </w:rPr>
        <w:t xml:space="preserve">Gene/transcript identifier (HGNC symbol, Ensembl ID, or RefSeq accession)</w:t>
      </w:r>
    </w:p>
    <w:p>
      <w:pPr>
        <w:pStyle w:val="ListParagraph"/>
        <w:numPr>
          <w:ilvl w:val="0"/>
          <w:numId w:val="0"/>
        </w:numPr>
        <w:spacing w:after="100" w:line="360"/>
      </w:pPr>
      <w:r>
        <w:rPr>
          <w:rFonts w:ascii="Arial" w:cs="Arial" w:eastAsia="Arial" w:hAnsi="Arial"/>
          <w:sz w:val="24"/>
          <w:szCs w:val="24"/>
        </w:rPr>
        <w:t xml:space="preserve">Species (human, mouse, rat, etc.)</w:t>
      </w:r>
    </w:p>
    <w:p>
      <w:pPr>
        <w:pStyle w:val="ListParagraph"/>
        <w:numPr>
          <w:ilvl w:val="0"/>
          <w:numId w:val="0"/>
        </w:numPr>
        <w:spacing w:after="100" w:line="360"/>
      </w:pPr>
      <w:r>
        <w:rPr>
          <w:rFonts w:ascii="Arial" w:cs="Arial" w:eastAsia="Arial" w:hAnsi="Arial"/>
          <w:sz w:val="24"/>
          <w:szCs w:val="24"/>
        </w:rPr>
        <w:t xml:space="preserve">Coordinate system specification</w:t>
      </w:r>
    </w:p>
    <w:p>
      <w:pPr>
        <w:spacing w:after="100" w:line="360"/>
      </w:pPr>
      <w:r>
        <w:rPr>
          <w:rFonts w:ascii="Arial" w:cs="Arial" w:eastAsia="Arial" w:hAnsi="Arial"/>
          <w:b/>
          <w:bCs/>
          <w:sz w:val="24"/>
          <w:szCs w:val="24"/>
        </w:rPr>
        <w:t xml:space="preserve">Tools &amp; Databases Called:</w:t>
      </w:r>
    </w:p>
    <w:p>
      <w:pPr>
        <w:pStyle w:val="ListParagraph"/>
        <w:numPr>
          <w:ilvl w:val="0"/>
          <w:numId w:val="0"/>
        </w:numPr>
        <w:spacing w:after="100" w:line="360"/>
      </w:pPr>
      <w:r>
        <w:rPr>
          <w:rFonts w:ascii="Arial" w:cs="Arial" w:eastAsia="Arial" w:hAnsi="Arial"/>
          <w:b/>
          <w:bCs/>
          <w:sz w:val="24"/>
          <w:szCs w:val="24"/>
        </w:rPr>
        <w:t xml:space="preserve">Ensembl REST API: </w:t>
      </w:r>
      <w:r>
        <w:rPr>
          <w:rFonts w:ascii="Arial" w:cs="Arial" w:eastAsia="Arial" w:hAnsi="Arial"/>
          <w:sz w:val="24"/>
          <w:szCs w:val="24"/>
        </w:rPr>
        <w:t xml:space="preserve">Retrieve transcript coordinates, exon/intron boundaries, UTR annotations</w:t>
      </w:r>
    </w:p>
    <w:p>
      <w:pPr>
        <w:pStyle w:val="ListParagraph"/>
        <w:numPr>
          <w:ilvl w:val="0"/>
          <w:numId w:val="0"/>
        </w:numPr>
        <w:spacing w:after="100" w:line="360"/>
      </w:pPr>
      <w:r>
        <w:rPr>
          <w:rFonts w:ascii="Arial" w:cs="Arial" w:eastAsia="Arial" w:hAnsi="Arial"/>
          <w:b/>
          <w:bCs/>
          <w:sz w:val="24"/>
          <w:szCs w:val="24"/>
        </w:rPr>
        <w:t xml:space="preserve">NCBI RefSeq: </w:t>
      </w:r>
      <w:r>
        <w:rPr>
          <w:rFonts w:ascii="Arial" w:cs="Arial" w:eastAsia="Arial" w:hAnsi="Arial"/>
          <w:sz w:val="24"/>
          <w:szCs w:val="24"/>
        </w:rPr>
        <w:t xml:space="preserve">Access validated reference sequences and structural features</w:t>
      </w:r>
    </w:p>
    <w:p>
      <w:pPr>
        <w:pStyle w:val="ListParagraph"/>
        <w:numPr>
          <w:ilvl w:val="0"/>
          <w:numId w:val="0"/>
        </w:numPr>
        <w:spacing w:after="100" w:line="360"/>
      </w:pPr>
      <w:r>
        <w:rPr>
          <w:rFonts w:ascii="Arial" w:cs="Arial" w:eastAsia="Arial" w:hAnsi="Arial"/>
          <w:b/>
          <w:bCs/>
          <w:sz w:val="24"/>
          <w:szCs w:val="24"/>
        </w:rPr>
        <w:t xml:space="preserve">GENCODE: </w:t>
      </w:r>
      <w:r>
        <w:rPr>
          <w:rFonts w:ascii="Arial" w:cs="Arial" w:eastAsia="Arial" w:hAnsi="Arial"/>
          <w:sz w:val="24"/>
          <w:szCs w:val="24"/>
        </w:rPr>
        <w:t xml:space="preserve">Comprehensive gene/transcript annotation database</w:t>
      </w:r>
    </w:p>
    <w:p>
      <w:pPr>
        <w:pStyle w:val="ListParagraph"/>
        <w:numPr>
          <w:ilvl w:val="0"/>
          <w:numId w:val="0"/>
        </w:numPr>
        <w:spacing w:after="100" w:line="360"/>
      </w:pPr>
      <w:r>
        <w:rPr>
          <w:rFonts w:ascii="Arial" w:cs="Arial" w:eastAsia="Arial" w:hAnsi="Arial"/>
          <w:b/>
          <w:bCs/>
          <w:sz w:val="24"/>
          <w:szCs w:val="24"/>
        </w:rPr>
        <w:t xml:space="preserve">UTRdb: </w:t>
      </w:r>
      <w:r>
        <w:rPr>
          <w:rFonts w:ascii="Arial" w:cs="Arial" w:eastAsia="Arial" w:hAnsi="Arial"/>
          <w:sz w:val="24"/>
          <w:szCs w:val="24"/>
        </w:rPr>
        <w:t xml:space="preserve">UTR sequence and annotation repository</w:t>
      </w:r>
    </w:p>
    <w:p>
      <w:pPr>
        <w:pStyle w:val="ListParagraph"/>
        <w:numPr>
          <w:ilvl w:val="0"/>
          <w:numId w:val="0"/>
        </w:numPr>
        <w:spacing w:after="100" w:line="360"/>
      </w:pPr>
      <w:r>
        <w:rPr>
          <w:rFonts w:ascii="Arial" w:cs="Arial" w:eastAsia="Arial" w:hAnsi="Arial"/>
          <w:b/>
          <w:bCs/>
          <w:sz w:val="24"/>
          <w:szCs w:val="24"/>
        </w:rPr>
        <w:t xml:space="preserve">PolyA_DB: </w:t>
      </w:r>
      <w:r>
        <w:rPr>
          <w:rFonts w:ascii="Arial" w:cs="Arial" w:eastAsia="Arial" w:hAnsi="Arial"/>
          <w:sz w:val="24"/>
          <w:szCs w:val="24"/>
        </w:rPr>
        <w:t xml:space="preserve">Polyadenylation site database and prediction</w:t>
      </w:r>
    </w:p>
    <w:p>
      <w:pPr>
        <w:spacing w:after="100" w:line="360"/>
      </w:pPr>
      <w:r>
        <w:rPr>
          <w:rFonts w:ascii="Arial" w:cs="Arial" w:eastAsia="Arial" w:hAnsi="Arial"/>
          <w:b/>
          <w:bCs/>
          <w:sz w:val="24"/>
          <w:szCs w:val="24"/>
        </w:rPr>
        <w:t xml:space="preserve">Exemplary Sub-Prompts:</w:t>
      </w:r>
    </w:p>
    <w:p>
      <w:pPr>
        <w:pStyle w:val="ListParagraph"/>
        <w:numPr>
          <w:ilvl w:val="0"/>
          <w:numId w:val="0"/>
        </w:numPr>
        <w:spacing w:after="100" w:line="360"/>
      </w:pPr>
      <w:r>
        <w:rPr>
          <w:rFonts w:ascii="Arial" w:cs="Arial" w:eastAsia="Arial" w:hAnsi="Arial"/>
          <w:sz w:val="24"/>
          <w:szCs w:val="24"/>
        </w:rPr>
        <w:t xml:space="preserve">What are the full exon/intron boundaries for transcript [ID]?</w:t>
      </w:r>
    </w:p>
    <w:p>
      <w:pPr>
        <w:pStyle w:val="ListParagraph"/>
        <w:numPr>
          <w:ilvl w:val="0"/>
          <w:numId w:val="0"/>
        </w:numPr>
        <w:spacing w:after="100" w:line="360"/>
      </w:pPr>
      <w:r>
        <w:rPr>
          <w:rFonts w:ascii="Arial" w:cs="Arial" w:eastAsia="Arial" w:hAnsi="Arial"/>
          <w:sz w:val="24"/>
          <w:szCs w:val="24"/>
        </w:rPr>
        <w:t xml:space="preserve">How long are the 5' and 3' UTRs for this transcript?</w:t>
      </w:r>
    </w:p>
    <w:p>
      <w:pPr>
        <w:pStyle w:val="ListParagraph"/>
        <w:numPr>
          <w:ilvl w:val="0"/>
          <w:numId w:val="0"/>
        </w:numPr>
        <w:spacing w:after="100" w:line="360"/>
      </w:pPr>
      <w:r>
        <w:rPr>
          <w:rFonts w:ascii="Arial" w:cs="Arial" w:eastAsia="Arial" w:hAnsi="Arial"/>
          <w:sz w:val="24"/>
          <w:szCs w:val="24"/>
        </w:rPr>
        <w:t xml:space="preserve">Are there alternative polyadenylation sites, and where are they located?</w:t>
      </w:r>
    </w:p>
    <w:p>
      <w:pPr>
        <w:pStyle w:val="ListParagraph"/>
        <w:numPr>
          <w:ilvl w:val="0"/>
          <w:numId w:val="0"/>
        </w:numPr>
        <w:spacing w:after="100" w:line="360"/>
      </w:pPr>
      <w:r>
        <w:rPr>
          <w:rFonts w:ascii="Arial" w:cs="Arial" w:eastAsia="Arial" w:hAnsi="Arial"/>
          <w:sz w:val="24"/>
          <w:szCs w:val="24"/>
        </w:rPr>
        <w:t xml:space="preserve">What is the total transcript length and coding sequence length?</w:t>
      </w:r>
    </w:p>
    <w:p>
      <w:pPr>
        <w:spacing w:after="100" w:line="360"/>
      </w:pPr>
      <w:r>
        <w:rPr>
          <w:rFonts w:ascii="Arial" w:cs="Arial" w:eastAsia="Arial" w:hAnsi="Arial"/>
          <w:b/>
          <w:bCs/>
          <w:sz w:val="24"/>
          <w:szCs w:val="24"/>
        </w:rPr>
        <w:t xml:space="preserve">Expected Outputs:</w:t>
      </w:r>
    </w:p>
    <w:p>
      <w:pPr>
        <w:pStyle w:val="ListParagraph"/>
        <w:numPr>
          <w:ilvl w:val="0"/>
          <w:numId w:val="0"/>
        </w:numPr>
        <w:spacing w:after="100" w:line="360"/>
      </w:pPr>
      <w:r>
        <w:rPr>
          <w:rFonts w:ascii="Arial" w:cs="Arial" w:eastAsia="Arial" w:hAnsi="Arial"/>
          <w:sz w:val="24"/>
          <w:szCs w:val="24"/>
        </w:rPr>
        <w:t xml:space="preserve">Full pre-mRNA sequence (genomic coordinates)</w:t>
      </w:r>
    </w:p>
    <w:p>
      <w:pPr>
        <w:pStyle w:val="ListParagraph"/>
        <w:numPr>
          <w:ilvl w:val="0"/>
          <w:numId w:val="0"/>
        </w:numPr>
        <w:spacing w:after="100" w:line="360"/>
      </w:pPr>
      <w:r>
        <w:rPr>
          <w:rFonts w:ascii="Arial" w:cs="Arial" w:eastAsia="Arial" w:hAnsi="Arial"/>
          <w:sz w:val="24"/>
          <w:szCs w:val="24"/>
        </w:rPr>
        <w:t xml:space="preserve">Full mature mRNA sequence (post-splicing)</w:t>
      </w:r>
    </w:p>
    <w:p>
      <w:pPr>
        <w:pStyle w:val="ListParagraph"/>
        <w:numPr>
          <w:ilvl w:val="0"/>
          <w:numId w:val="0"/>
        </w:numPr>
        <w:spacing w:after="100" w:line="360"/>
      </w:pPr>
      <w:r>
        <w:rPr>
          <w:rFonts w:ascii="Arial" w:cs="Arial" w:eastAsia="Arial" w:hAnsi="Arial"/>
          <w:sz w:val="24"/>
          <w:szCs w:val="24"/>
        </w:rPr>
        <w:t xml:space="preserve">Exon/intron boundary coordinates</w:t>
      </w:r>
    </w:p>
    <w:p>
      <w:pPr>
        <w:pStyle w:val="ListParagraph"/>
        <w:numPr>
          <w:ilvl w:val="0"/>
          <w:numId w:val="0"/>
        </w:numPr>
        <w:spacing w:after="100" w:line="360"/>
      </w:pPr>
      <w:r>
        <w:rPr>
          <w:rFonts w:ascii="Arial" w:cs="Arial" w:eastAsia="Arial" w:hAnsi="Arial"/>
          <w:sz w:val="24"/>
          <w:szCs w:val="24"/>
        </w:rPr>
        <w:t xml:space="preserve">5' and 3' UTR sequences and lengths</w:t>
      </w:r>
    </w:p>
    <w:p>
      <w:pPr>
        <w:pStyle w:val="ListParagraph"/>
        <w:numPr>
          <w:ilvl w:val="0"/>
          <w:numId w:val="0"/>
        </w:numPr>
        <w:spacing w:after="100" w:line="360"/>
      </w:pPr>
      <w:r>
        <w:rPr>
          <w:rFonts w:ascii="Arial" w:cs="Arial" w:eastAsia="Arial" w:hAnsi="Arial"/>
          <w:sz w:val="24"/>
          <w:szCs w:val="24"/>
        </w:rPr>
        <w:t xml:space="preserve">Alternative polyadenylation site locations</w:t>
      </w:r>
    </w:p>
    <w:p>
      <w:pPr>
        <w:pStyle w:val="ListParagraph"/>
        <w:numPr>
          <w:ilvl w:val="0"/>
          <w:numId w:val="0"/>
        </w:numPr>
        <w:spacing w:after="100" w:line="360"/>
      </w:pPr>
      <w:r>
        <w:rPr>
          <w:rFonts w:ascii="Arial" w:cs="Arial" w:eastAsia="Arial" w:hAnsi="Arial"/>
          <w:sz w:val="24"/>
          <w:szCs w:val="24"/>
        </w:rPr>
        <w:t xml:space="preserve">Transcript structural annotation GFF/GTF format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FASTA sequences + BED/GFF annotation files + JSON metadata</w:t>
      </w:r>
    </w:p>
    <w:p>
      <w:pPr>
        <w:pStyle w:val="Heading2"/>
        <w:spacing w:before="200" w:after="200"/>
      </w:pPr>
      <w:r>
        <w:t xml:space="preserve">Stage 2: mRNA Half-Life &amp; Stability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Determine transcript stability/half-life from experimental and predicted data. Longer half-life transcripts accumulate more ASO-target complexes, increasing therapeutic efficacy.</w:t>
      </w:r>
    </w:p>
    <w:p>
      <w:pPr>
        <w:spacing w:after="100" w:line="360"/>
      </w:pPr>
      <w:r>
        <w:rPr>
          <w:rFonts w:ascii="Arial" w:cs="Arial" w:eastAsia="Arial" w:hAnsi="Arial"/>
          <w:b/>
          <w:bCs/>
          <w:sz w:val="24"/>
          <w:szCs w:val="24"/>
        </w:rPr>
        <w:t xml:space="preserve">Inputs:</w:t>
      </w:r>
    </w:p>
    <w:p>
      <w:pPr>
        <w:pStyle w:val="ListParagraph"/>
        <w:numPr>
          <w:ilvl w:val="0"/>
          <w:numId w:val="0"/>
        </w:numPr>
        <w:spacing w:after="100" w:line="360"/>
      </w:pPr>
      <w:r>
        <w:rPr>
          <w:rFonts w:ascii="Arial" w:cs="Arial" w:eastAsia="Arial" w:hAnsi="Arial"/>
          <w:sz w:val="24"/>
          <w:szCs w:val="24"/>
        </w:rPr>
        <w:t xml:space="preserve">mRNA sequence and transcript ID</w:t>
      </w:r>
    </w:p>
    <w:p>
      <w:pPr>
        <w:pStyle w:val="ListParagraph"/>
        <w:numPr>
          <w:ilvl w:val="0"/>
          <w:numId w:val="0"/>
        </w:numPr>
        <w:spacing w:after="100" w:line="360"/>
      </w:pPr>
      <w:r>
        <w:rPr>
          <w:rFonts w:ascii="Arial" w:cs="Arial" w:eastAsia="Arial" w:hAnsi="Arial"/>
          <w:sz w:val="24"/>
          <w:szCs w:val="24"/>
        </w:rPr>
        <w:t xml:space="preserve">Cell type or tissue context (if available)</w:t>
      </w:r>
    </w:p>
    <w:p>
      <w:pPr>
        <w:pStyle w:val="ListParagraph"/>
        <w:numPr>
          <w:ilvl w:val="0"/>
          <w:numId w:val="0"/>
        </w:numPr>
        <w:spacing w:after="100" w:line="360"/>
      </w:pPr>
      <w:r>
        <w:rPr>
          <w:rFonts w:ascii="Arial" w:cs="Arial" w:eastAsia="Arial" w:hAnsi="Arial"/>
          <w:sz w:val="24"/>
          <w:szCs w:val="24"/>
        </w:rPr>
        <w:t xml:space="preserve">Available experimental half-life measurements</w:t>
      </w:r>
    </w:p>
    <w:p>
      <w:pPr>
        <w:spacing w:after="100" w:line="360"/>
      </w:pPr>
      <w:r>
        <w:rPr>
          <w:rFonts w:ascii="Arial" w:cs="Arial" w:eastAsia="Arial" w:hAnsi="Arial"/>
          <w:b/>
          <w:bCs/>
          <w:sz w:val="24"/>
          <w:szCs w:val="24"/>
        </w:rPr>
        <w:t xml:space="preserve">Tools &amp; Databases Called:</w:t>
      </w:r>
    </w:p>
    <w:p>
      <w:pPr>
        <w:pStyle w:val="ListParagraph"/>
        <w:numPr>
          <w:ilvl w:val="0"/>
          <w:numId w:val="0"/>
        </w:numPr>
        <w:spacing w:after="100" w:line="360"/>
      </w:pPr>
      <w:r>
        <w:rPr>
          <w:rFonts w:ascii="Arial" w:cs="Arial" w:eastAsia="Arial" w:hAnsi="Arial"/>
          <w:b/>
          <w:bCs/>
          <w:sz w:val="24"/>
          <w:szCs w:val="24"/>
        </w:rPr>
        <w:t xml:space="preserve">Published mRNA Half-Life Datasets: </w:t>
      </w:r>
      <w:r>
        <w:rPr>
          <w:rFonts w:ascii="Arial" w:cs="Arial" w:eastAsia="Arial" w:hAnsi="Arial"/>
          <w:sz w:val="24"/>
          <w:szCs w:val="24"/>
        </w:rPr>
        <w:t xml:space="preserve">Tani et al. (2012), Schwanhausser et al. (2011) experimental measurements</w:t>
      </w:r>
    </w:p>
    <w:p>
      <w:pPr>
        <w:pStyle w:val="ListParagraph"/>
        <w:numPr>
          <w:ilvl w:val="0"/>
          <w:numId w:val="0"/>
        </w:numPr>
        <w:spacing w:after="100" w:line="360"/>
      </w:pPr>
      <w:r>
        <w:rPr>
          <w:rFonts w:ascii="Arial" w:cs="Arial" w:eastAsia="Arial" w:hAnsi="Arial"/>
          <w:b/>
          <w:bCs/>
          <w:sz w:val="24"/>
          <w:szCs w:val="24"/>
        </w:rPr>
        <w:t xml:space="preserve">AREsite2: </w:t>
      </w:r>
      <w:r>
        <w:rPr>
          <w:rFonts w:ascii="Arial" w:cs="Arial" w:eastAsia="Arial" w:hAnsi="Arial"/>
          <w:sz w:val="24"/>
          <w:szCs w:val="24"/>
        </w:rPr>
        <w:t xml:space="preserve">AU-rich element (ARE) database and stability prediction</w:t>
      </w:r>
    </w:p>
    <w:p>
      <w:pPr>
        <w:pStyle w:val="ListParagraph"/>
        <w:numPr>
          <w:ilvl w:val="0"/>
          <w:numId w:val="0"/>
        </w:numPr>
        <w:spacing w:after="100" w:line="360"/>
      </w:pPr>
      <w:r>
        <w:rPr>
          <w:rFonts w:ascii="Arial" w:cs="Arial" w:eastAsia="Arial" w:hAnsi="Arial"/>
          <w:b/>
          <w:bCs/>
          <w:sz w:val="24"/>
          <w:szCs w:val="24"/>
        </w:rPr>
        <w:t xml:space="preserve">mRNA Stability Prediction Algorithms: </w:t>
      </w:r>
      <w:r>
        <w:rPr>
          <w:rFonts w:ascii="Arial" w:cs="Arial" w:eastAsia="Arial" w:hAnsi="Arial"/>
          <w:sz w:val="24"/>
          <w:szCs w:val="24"/>
        </w:rPr>
        <w:t xml:space="preserve">Machine-learning models for half-life prediction from sequence</w:t>
      </w:r>
    </w:p>
    <w:p>
      <w:pPr>
        <w:pStyle w:val="ListParagraph"/>
        <w:numPr>
          <w:ilvl w:val="0"/>
          <w:numId w:val="0"/>
        </w:numPr>
        <w:spacing w:after="100" w:line="360"/>
      </w:pPr>
      <w:r>
        <w:rPr>
          <w:rFonts w:ascii="Arial" w:cs="Arial" w:eastAsia="Arial" w:hAnsi="Arial"/>
          <w:b/>
          <w:bCs/>
          <w:sz w:val="24"/>
          <w:szCs w:val="24"/>
        </w:rPr>
        <w:t xml:space="preserve">Quiver Transcriptomic Data: </w:t>
      </w:r>
      <w:r>
        <w:rPr>
          <w:rFonts w:ascii="Arial" w:cs="Arial" w:eastAsia="Arial" w:hAnsi="Arial"/>
          <w:sz w:val="24"/>
          <w:szCs w:val="24"/>
        </w:rPr>
        <w:t xml:space="preserve">Integrated stability and abundance metrics</w:t>
      </w:r>
    </w:p>
    <w:p>
      <w:pPr>
        <w:spacing w:after="100" w:line="360"/>
      </w:pPr>
      <w:r>
        <w:rPr>
          <w:rFonts w:ascii="Arial" w:cs="Arial" w:eastAsia="Arial" w:hAnsi="Arial"/>
          <w:b/>
          <w:bCs/>
          <w:sz w:val="24"/>
          <w:szCs w:val="24"/>
        </w:rPr>
        <w:t xml:space="preserve">Exemplary Sub-Prompts:</w:t>
      </w:r>
    </w:p>
    <w:p>
      <w:pPr>
        <w:pStyle w:val="ListParagraph"/>
        <w:numPr>
          <w:ilvl w:val="0"/>
          <w:numId w:val="0"/>
        </w:numPr>
        <w:spacing w:after="100" w:line="360"/>
      </w:pPr>
      <w:r>
        <w:rPr>
          <w:rFonts w:ascii="Arial" w:cs="Arial" w:eastAsia="Arial" w:hAnsi="Arial"/>
          <w:sz w:val="24"/>
          <w:szCs w:val="24"/>
        </w:rPr>
        <w:t xml:space="preserve">What is the experimental half-life for transcript [ID] in the literature?</w:t>
      </w:r>
    </w:p>
    <w:p>
      <w:pPr>
        <w:pStyle w:val="ListParagraph"/>
        <w:numPr>
          <w:ilvl w:val="0"/>
          <w:numId w:val="0"/>
        </w:numPr>
        <w:spacing w:after="100" w:line="360"/>
      </w:pPr>
      <w:r>
        <w:rPr>
          <w:rFonts w:ascii="Arial" w:cs="Arial" w:eastAsia="Arial" w:hAnsi="Arial"/>
          <w:sz w:val="24"/>
          <w:szCs w:val="24"/>
        </w:rPr>
        <w:t xml:space="preserve">How many AU-rich elements (AREs) are present in the 3' UTR?</w:t>
      </w:r>
    </w:p>
    <w:p>
      <w:pPr>
        <w:pStyle w:val="ListParagraph"/>
        <w:numPr>
          <w:ilvl w:val="0"/>
          <w:numId w:val="0"/>
        </w:numPr>
        <w:spacing w:after="100" w:line="360"/>
      </w:pPr>
      <w:r>
        <w:rPr>
          <w:rFonts w:ascii="Arial" w:cs="Arial" w:eastAsia="Arial" w:hAnsi="Arial"/>
          <w:sz w:val="24"/>
          <w:szCs w:val="24"/>
        </w:rPr>
        <w:t xml:space="preserve">What is the predicted half-life based on sequence features?</w:t>
      </w:r>
    </w:p>
    <w:p>
      <w:pPr>
        <w:pStyle w:val="ListParagraph"/>
        <w:numPr>
          <w:ilvl w:val="0"/>
          <w:numId w:val="0"/>
        </w:numPr>
        <w:spacing w:after="100" w:line="360"/>
      </w:pPr>
      <w:r>
        <w:rPr>
          <w:rFonts w:ascii="Arial" w:cs="Arial" w:eastAsia="Arial" w:hAnsi="Arial"/>
          <w:sz w:val="24"/>
          <w:szCs w:val="24"/>
        </w:rPr>
        <w:t xml:space="preserve">Is this transcript generally stable (half-life &gt; 4 hours) or unstable (&lt; 2 hours)?</w:t>
      </w:r>
    </w:p>
    <w:p>
      <w:pPr>
        <w:spacing w:after="100" w:line="360"/>
      </w:pPr>
      <w:r>
        <w:rPr>
          <w:rFonts w:ascii="Arial" w:cs="Arial" w:eastAsia="Arial" w:hAnsi="Arial"/>
          <w:b/>
          <w:bCs/>
          <w:sz w:val="24"/>
          <w:szCs w:val="24"/>
        </w:rPr>
        <w:t xml:space="preserve">Expected Outputs:</w:t>
      </w:r>
    </w:p>
    <w:p>
      <w:pPr>
        <w:pStyle w:val="ListParagraph"/>
        <w:numPr>
          <w:ilvl w:val="0"/>
          <w:numId w:val="0"/>
        </w:numPr>
        <w:spacing w:after="100" w:line="360"/>
      </w:pPr>
      <w:r>
        <w:rPr>
          <w:rFonts w:ascii="Arial" w:cs="Arial" w:eastAsia="Arial" w:hAnsi="Arial"/>
          <w:sz w:val="24"/>
          <w:szCs w:val="24"/>
        </w:rPr>
        <w:t xml:space="preserve">Experimental half-life value (if available) with citation</w:t>
      </w:r>
    </w:p>
    <w:p>
      <w:pPr>
        <w:pStyle w:val="ListParagraph"/>
        <w:numPr>
          <w:ilvl w:val="0"/>
          <w:numId w:val="0"/>
        </w:numPr>
        <w:spacing w:after="100" w:line="360"/>
      </w:pPr>
      <w:r>
        <w:rPr>
          <w:rFonts w:ascii="Arial" w:cs="Arial" w:eastAsia="Arial" w:hAnsi="Arial"/>
          <w:sz w:val="24"/>
          <w:szCs w:val="24"/>
        </w:rPr>
        <w:t xml:space="preserve">Predicted half-life estimate (hours)</w:t>
      </w:r>
    </w:p>
    <w:p>
      <w:pPr>
        <w:pStyle w:val="ListParagraph"/>
        <w:numPr>
          <w:ilvl w:val="0"/>
          <w:numId w:val="0"/>
        </w:numPr>
        <w:spacing w:after="100" w:line="360"/>
      </w:pPr>
      <w:r>
        <w:rPr>
          <w:rFonts w:ascii="Arial" w:cs="Arial" w:eastAsia="Arial" w:hAnsi="Arial"/>
          <w:sz w:val="24"/>
          <w:szCs w:val="24"/>
        </w:rPr>
        <w:t xml:space="preserve">Stability classification (very stable, stable, moderate, unstable)</w:t>
      </w:r>
    </w:p>
    <w:p>
      <w:pPr>
        <w:pStyle w:val="ListParagraph"/>
        <w:numPr>
          <w:ilvl w:val="0"/>
          <w:numId w:val="0"/>
        </w:numPr>
        <w:spacing w:after="100" w:line="360"/>
      </w:pPr>
      <w:r>
        <w:rPr>
          <w:rFonts w:ascii="Arial" w:cs="Arial" w:eastAsia="Arial" w:hAnsi="Arial"/>
          <w:sz w:val="24"/>
          <w:szCs w:val="24"/>
        </w:rPr>
        <w:t xml:space="preserve">AU-rich element count and position</w:t>
      </w:r>
    </w:p>
    <w:p>
      <w:pPr>
        <w:pStyle w:val="ListParagraph"/>
        <w:numPr>
          <w:ilvl w:val="0"/>
          <w:numId w:val="0"/>
        </w:numPr>
        <w:spacing w:after="100" w:line="360"/>
      </w:pPr>
      <w:r>
        <w:rPr>
          <w:rFonts w:ascii="Arial" w:cs="Arial" w:eastAsia="Arial" w:hAnsi="Arial"/>
          <w:sz w:val="24"/>
          <w:szCs w:val="24"/>
        </w:rPr>
        <w:t xml:space="preserve">Codon usage bias and GC content analysis</w:t>
      </w:r>
    </w:p>
    <w:p>
      <w:pPr>
        <w:pStyle w:val="ListParagraph"/>
        <w:numPr>
          <w:ilvl w:val="0"/>
          <w:numId w:val="0"/>
        </w:numPr>
        <w:spacing w:after="100" w:line="360"/>
      </w:pPr>
      <w:r>
        <w:rPr>
          <w:rFonts w:ascii="Arial" w:cs="Arial" w:eastAsia="Arial" w:hAnsi="Arial"/>
          <w:sz w:val="24"/>
          <w:szCs w:val="24"/>
        </w:rPr>
        <w:t xml:space="preserve">Confidence score for stability prediction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JSON with half-life metrics + CSV with element annotations</w:t>
      </w:r>
    </w:p>
    <w:p>
      <w:pPr>
        <w:pStyle w:val="Heading2"/>
        <w:spacing w:before="200" w:after="200"/>
      </w:pPr>
      <w:r>
        <w:t xml:space="preserve">Stage 3: RNase H Accessibility &amp; Cleavage Site Prediction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accessible RNase H cleavage sites on the transcript where gapmer ASOs would be most effective. Secondary structure occlusion is a major determinant of ASO efficacy.</w:t>
      </w:r>
    </w:p>
    <w:p>
      <w:pPr>
        <w:spacing w:after="100" w:line="360"/>
      </w:pPr>
      <w:r>
        <w:rPr>
          <w:rFonts w:ascii="Arial" w:cs="Arial" w:eastAsia="Arial" w:hAnsi="Arial"/>
          <w:b/>
          <w:bCs/>
          <w:sz w:val="24"/>
          <w:szCs w:val="24"/>
        </w:rPr>
        <w:t xml:space="preserve">Inputs:</w:t>
      </w:r>
    </w:p>
    <w:p>
      <w:pPr>
        <w:pStyle w:val="ListParagraph"/>
        <w:numPr>
          <w:ilvl w:val="0"/>
          <w:numId w:val="0"/>
        </w:numPr>
        <w:spacing w:after="100" w:line="360"/>
      </w:pPr>
      <w:r>
        <w:rPr>
          <w:rFonts w:ascii="Arial" w:cs="Arial" w:eastAsia="Arial" w:hAnsi="Arial"/>
          <w:sz w:val="24"/>
          <w:szCs w:val="24"/>
        </w:rPr>
        <w:t xml:space="preserve">mRNA sequence</w:t>
      </w:r>
    </w:p>
    <w:p>
      <w:pPr>
        <w:pStyle w:val="ListParagraph"/>
        <w:numPr>
          <w:ilvl w:val="0"/>
          <w:numId w:val="0"/>
        </w:numPr>
        <w:spacing w:after="100" w:line="360"/>
      </w:pPr>
      <w:r>
        <w:rPr>
          <w:rFonts w:ascii="Arial" w:cs="Arial" w:eastAsia="Arial" w:hAnsi="Arial"/>
          <w:sz w:val="24"/>
          <w:szCs w:val="24"/>
        </w:rPr>
        <w:t xml:space="preserve">Secondary structure predictions (optional pre-computed)</w:t>
      </w:r>
    </w:p>
    <w:p>
      <w:pPr>
        <w:pStyle w:val="ListParagraph"/>
        <w:numPr>
          <w:ilvl w:val="0"/>
          <w:numId w:val="0"/>
        </w:numPr>
        <w:spacing w:after="100" w:line="360"/>
      </w:pPr>
      <w:r>
        <w:rPr>
          <w:rFonts w:ascii="Arial" w:cs="Arial" w:eastAsia="Arial" w:hAnsi="Arial"/>
          <w:sz w:val="24"/>
          <w:szCs w:val="24"/>
        </w:rPr>
        <w:t xml:space="preserve">Transcript length constraints (if applicable)</w:t>
      </w:r>
    </w:p>
    <w:p>
      <w:pPr>
        <w:spacing w:after="100" w:line="360"/>
      </w:pPr>
      <w:r>
        <w:rPr>
          <w:rFonts w:ascii="Arial" w:cs="Arial" w:eastAsia="Arial" w:hAnsi="Arial"/>
          <w:b/>
          <w:bCs/>
          <w:sz w:val="24"/>
          <w:szCs w:val="24"/>
        </w:rPr>
        <w:t xml:space="preserve">Tools &amp; Databases Called:</w:t>
      </w:r>
    </w:p>
    <w:p>
      <w:pPr>
        <w:pStyle w:val="ListParagraph"/>
        <w:numPr>
          <w:ilvl w:val="0"/>
          <w:numId w:val="0"/>
        </w:numPr>
        <w:spacing w:after="100" w:line="360"/>
      </w:pPr>
      <w:r>
        <w:rPr>
          <w:rFonts w:ascii="Arial" w:cs="Arial" w:eastAsia="Arial" w:hAnsi="Arial"/>
          <w:b/>
          <w:bCs/>
          <w:sz w:val="24"/>
          <w:szCs w:val="24"/>
        </w:rPr>
        <w:t xml:space="preserve">RNAfold (ViennaRNA): </w:t>
      </w:r>
      <w:r>
        <w:rPr>
          <w:rFonts w:ascii="Arial" w:cs="Arial" w:eastAsia="Arial" w:hAnsi="Arial"/>
          <w:sz w:val="24"/>
          <w:szCs w:val="24"/>
        </w:rPr>
        <w:t xml:space="preserve">Compute minimum free energy secondary structure</w:t>
      </w:r>
    </w:p>
    <w:p>
      <w:pPr>
        <w:pStyle w:val="ListParagraph"/>
        <w:numPr>
          <w:ilvl w:val="0"/>
          <w:numId w:val="0"/>
        </w:numPr>
        <w:spacing w:after="100" w:line="360"/>
      </w:pPr>
      <w:r>
        <w:rPr>
          <w:rFonts w:ascii="Arial" w:cs="Arial" w:eastAsia="Arial" w:hAnsi="Arial"/>
          <w:b/>
          <w:bCs/>
          <w:sz w:val="24"/>
          <w:szCs w:val="24"/>
        </w:rPr>
        <w:t xml:space="preserve">RNase H Cleavage Site Prediction Tools: </w:t>
      </w:r>
      <w:r>
        <w:rPr>
          <w:rFonts w:ascii="Arial" w:cs="Arial" w:eastAsia="Arial" w:hAnsi="Arial"/>
          <w:sz w:val="24"/>
          <w:szCs w:val="24"/>
        </w:rPr>
        <w:t xml:space="preserve">Identify optimal RH1/RH2 cleavage consensus sites</w:t>
      </w:r>
    </w:p>
    <w:p>
      <w:pPr>
        <w:pStyle w:val="ListParagraph"/>
        <w:numPr>
          <w:ilvl w:val="0"/>
          <w:numId w:val="0"/>
        </w:numPr>
        <w:spacing w:after="100" w:line="360"/>
      </w:pPr>
      <w:r>
        <w:rPr>
          <w:rFonts w:ascii="Arial" w:cs="Arial" w:eastAsia="Arial" w:hAnsi="Arial"/>
          <w:b/>
          <w:bCs/>
          <w:sz w:val="24"/>
          <w:szCs w:val="24"/>
        </w:rPr>
        <w:t xml:space="preserve">Mfold/UNAfold: </w:t>
      </w:r>
      <w:r>
        <w:rPr>
          <w:rFonts w:ascii="Arial" w:cs="Arial" w:eastAsia="Arial" w:hAnsi="Arial"/>
          <w:sz w:val="24"/>
          <w:szCs w:val="24"/>
        </w:rPr>
        <w:t xml:space="preserve">Alternative secondary structure prediction and ensemble analysis</w:t>
      </w:r>
    </w:p>
    <w:p>
      <w:pPr>
        <w:pStyle w:val="ListParagraph"/>
        <w:numPr>
          <w:ilvl w:val="0"/>
          <w:numId w:val="0"/>
        </w:numPr>
        <w:spacing w:after="100" w:line="360"/>
      </w:pPr>
      <w:r>
        <w:rPr>
          <w:rFonts w:ascii="Arial" w:cs="Arial" w:eastAsia="Arial" w:hAnsi="Arial"/>
          <w:b/>
          <w:bCs/>
          <w:sz w:val="24"/>
          <w:szCs w:val="24"/>
        </w:rPr>
        <w:t xml:space="preserve">Quiver ASO Design Module: </w:t>
      </w:r>
      <w:r>
        <w:rPr>
          <w:rFonts w:ascii="Arial" w:cs="Arial" w:eastAsia="Arial" w:hAnsi="Arial"/>
          <w:sz w:val="24"/>
          <w:szCs w:val="24"/>
        </w:rPr>
        <w:t xml:space="preserve">Integrated accessibility scoring and gapmer design</w:t>
      </w:r>
    </w:p>
    <w:p>
      <w:pPr>
        <w:spacing w:after="100" w:line="360"/>
      </w:pPr>
      <w:r>
        <w:rPr>
          <w:rFonts w:ascii="Arial" w:cs="Arial" w:eastAsia="Arial" w:hAnsi="Arial"/>
          <w:b/>
          <w:bCs/>
          <w:sz w:val="24"/>
          <w:szCs w:val="24"/>
        </w:rPr>
        <w:t xml:space="preserve">Exemplary Sub-Prompts:</w:t>
      </w:r>
    </w:p>
    <w:p>
      <w:pPr>
        <w:pStyle w:val="ListParagraph"/>
        <w:numPr>
          <w:ilvl w:val="0"/>
          <w:numId w:val="0"/>
        </w:numPr>
        <w:spacing w:after="100" w:line="360"/>
      </w:pPr>
      <w:r>
        <w:rPr>
          <w:rFonts w:ascii="Arial" w:cs="Arial" w:eastAsia="Arial" w:hAnsi="Arial"/>
          <w:sz w:val="24"/>
          <w:szCs w:val="24"/>
        </w:rPr>
        <w:t xml:space="preserve">What are the secondary structure predictions for this transcript?</w:t>
      </w:r>
    </w:p>
    <w:p>
      <w:pPr>
        <w:pStyle w:val="ListParagraph"/>
        <w:numPr>
          <w:ilvl w:val="0"/>
          <w:numId w:val="0"/>
        </w:numPr>
        <w:spacing w:after="100" w:line="360"/>
      </w:pPr>
      <w:r>
        <w:rPr>
          <w:rFonts w:ascii="Arial" w:cs="Arial" w:eastAsia="Arial" w:hAnsi="Arial"/>
          <w:sz w:val="24"/>
          <w:szCs w:val="24"/>
        </w:rPr>
        <w:t xml:space="preserve">Where are the most accessible RNase H cleavage sites?</w:t>
      </w:r>
    </w:p>
    <w:p>
      <w:pPr>
        <w:pStyle w:val="ListParagraph"/>
        <w:numPr>
          <w:ilvl w:val="0"/>
          <w:numId w:val="0"/>
        </w:numPr>
        <w:spacing w:after="100" w:line="360"/>
      </w:pPr>
      <w:r>
        <w:rPr>
          <w:rFonts w:ascii="Arial" w:cs="Arial" w:eastAsia="Arial" w:hAnsi="Arial"/>
          <w:sz w:val="24"/>
          <w:szCs w:val="24"/>
        </w:rPr>
        <w:t xml:space="preserve">How many high-confidence RH cleavage sites exist per 100 nucleotides?</w:t>
      </w:r>
    </w:p>
    <w:p>
      <w:pPr>
        <w:pStyle w:val="ListParagraph"/>
        <w:numPr>
          <w:ilvl w:val="0"/>
          <w:numId w:val="0"/>
        </w:numPr>
        <w:spacing w:after="100" w:line="360"/>
      </w:pPr>
      <w:r>
        <w:rPr>
          <w:rFonts w:ascii="Arial" w:cs="Arial" w:eastAsia="Arial" w:hAnsi="Arial"/>
          <w:sz w:val="24"/>
          <w:szCs w:val="24"/>
        </w:rPr>
        <w:t xml:space="preserve">What is the accessible fraction of the transcript (not heavily base-paired)?</w:t>
      </w:r>
    </w:p>
    <w:p>
      <w:pPr>
        <w:spacing w:after="100" w:line="360"/>
      </w:pPr>
      <w:r>
        <w:rPr>
          <w:rFonts w:ascii="Arial" w:cs="Arial" w:eastAsia="Arial" w:hAnsi="Arial"/>
          <w:b/>
          <w:bCs/>
          <w:sz w:val="24"/>
          <w:szCs w:val="24"/>
        </w:rPr>
        <w:t xml:space="preserve">Expected Outputs:</w:t>
      </w:r>
    </w:p>
    <w:p>
      <w:pPr>
        <w:pStyle w:val="ListParagraph"/>
        <w:numPr>
          <w:ilvl w:val="0"/>
          <w:numId w:val="0"/>
        </w:numPr>
        <w:spacing w:after="100" w:line="360"/>
      </w:pPr>
      <w:r>
        <w:rPr>
          <w:rFonts w:ascii="Arial" w:cs="Arial" w:eastAsia="Arial" w:hAnsi="Arial"/>
          <w:sz w:val="24"/>
          <w:szCs w:val="24"/>
        </w:rPr>
        <w:t xml:space="preserve">Secondary structure prediction (dot-bracket notation + energy estimate)</w:t>
      </w:r>
    </w:p>
    <w:p>
      <w:pPr>
        <w:pStyle w:val="ListParagraph"/>
        <w:numPr>
          <w:ilvl w:val="0"/>
          <w:numId w:val="0"/>
        </w:numPr>
        <w:spacing w:after="100" w:line="360"/>
      </w:pPr>
      <w:r>
        <w:rPr>
          <w:rFonts w:ascii="Arial" w:cs="Arial" w:eastAsia="Arial" w:hAnsi="Arial"/>
          <w:sz w:val="24"/>
          <w:szCs w:val="24"/>
        </w:rPr>
        <w:t xml:space="preserve">List of RNase H cleavage site coordinates with accessibility scores</w:t>
      </w:r>
    </w:p>
    <w:p>
      <w:pPr>
        <w:pStyle w:val="ListParagraph"/>
        <w:numPr>
          <w:ilvl w:val="0"/>
          <w:numId w:val="0"/>
        </w:numPr>
        <w:spacing w:after="100" w:line="360"/>
      </w:pPr>
      <w:r>
        <w:rPr>
          <w:rFonts w:ascii="Arial" w:cs="Arial" w:eastAsia="Arial" w:hAnsi="Arial"/>
          <w:sz w:val="24"/>
          <w:szCs w:val="24"/>
        </w:rPr>
        <w:t xml:space="preserve">Accessibility heatmap (nucleotide-level predictions)</w:t>
      </w:r>
    </w:p>
    <w:p>
      <w:pPr>
        <w:pStyle w:val="ListParagraph"/>
        <w:numPr>
          <w:ilvl w:val="0"/>
          <w:numId w:val="0"/>
        </w:numPr>
        <w:spacing w:after="100" w:line="360"/>
      </w:pPr>
      <w:r>
        <w:rPr>
          <w:rFonts w:ascii="Arial" w:cs="Arial" w:eastAsia="Arial" w:hAnsi="Arial"/>
          <w:sz w:val="24"/>
          <w:szCs w:val="24"/>
        </w:rPr>
        <w:t xml:space="preserve">Top 10 ranked ASO target sites with efficacy estimates</w:t>
      </w:r>
    </w:p>
    <w:p>
      <w:pPr>
        <w:pStyle w:val="ListParagraph"/>
        <w:numPr>
          <w:ilvl w:val="0"/>
          <w:numId w:val="0"/>
        </w:numPr>
        <w:spacing w:after="100" w:line="360"/>
      </w:pPr>
      <w:r>
        <w:rPr>
          <w:rFonts w:ascii="Arial" w:cs="Arial" w:eastAsia="Arial" w:hAnsi="Arial"/>
          <w:sz w:val="24"/>
          <w:szCs w:val="24"/>
        </w:rPr>
        <w:t xml:space="preserve">Off-target binding risk assessment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ViennaRNA dot-bracket notation + BED file with accessibility scores + JSON ranking</w:t>
      </w:r>
    </w:p>
    <w:p>
      <w:pPr>
        <w:pStyle w:val="Heading2"/>
        <w:spacing w:before="200" w:after="200"/>
      </w:pPr>
      <w:r>
        <w:t xml:space="preserve">Stage 4: Exon/Intron Architecture Evaluation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Assess whether the gene's exon/intron structure is favorable for splice-modulating or gapmer ASO approaches. Complex isoform landscapes or small exons can impact therapeutic targeting.</w:t>
      </w:r>
    </w:p>
    <w:p>
      <w:pPr>
        <w:spacing w:after="100" w:line="360"/>
      </w:pPr>
      <w:r>
        <w:rPr>
          <w:rFonts w:ascii="Arial" w:cs="Arial" w:eastAsia="Arial" w:hAnsi="Arial"/>
          <w:b/>
          <w:bCs/>
          <w:sz w:val="24"/>
          <w:szCs w:val="24"/>
        </w:rPr>
        <w:t xml:space="preserve">Inputs:</w:t>
      </w:r>
    </w:p>
    <w:p>
      <w:pPr>
        <w:pStyle w:val="ListParagraph"/>
        <w:numPr>
          <w:ilvl w:val="0"/>
          <w:numId w:val="0"/>
        </w:numPr>
        <w:spacing w:after="100" w:line="360"/>
      </w:pPr>
      <w:r>
        <w:rPr>
          <w:rFonts w:ascii="Arial" w:cs="Arial" w:eastAsia="Arial" w:hAnsi="Arial"/>
          <w:sz w:val="24"/>
          <w:szCs w:val="24"/>
        </w:rPr>
        <w:t xml:space="preserve">Exon/intron boundary coordinates</w:t>
      </w:r>
    </w:p>
    <w:p>
      <w:pPr>
        <w:pStyle w:val="ListParagraph"/>
        <w:numPr>
          <w:ilvl w:val="0"/>
          <w:numId w:val="0"/>
        </w:numPr>
        <w:spacing w:after="100" w:line="360"/>
      </w:pPr>
      <w:r>
        <w:rPr>
          <w:rFonts w:ascii="Arial" w:cs="Arial" w:eastAsia="Arial" w:hAnsi="Arial"/>
          <w:sz w:val="24"/>
          <w:szCs w:val="24"/>
        </w:rPr>
        <w:t xml:space="preserve">Splice site sequences (±20 nt flanking)</w:t>
      </w:r>
    </w:p>
    <w:p>
      <w:pPr>
        <w:pStyle w:val="ListParagraph"/>
        <w:numPr>
          <w:ilvl w:val="0"/>
          <w:numId w:val="0"/>
        </w:numPr>
        <w:spacing w:after="100" w:line="360"/>
      </w:pPr>
      <w:r>
        <w:rPr>
          <w:rFonts w:ascii="Arial" w:cs="Arial" w:eastAsia="Arial" w:hAnsi="Arial"/>
          <w:sz w:val="24"/>
          <w:szCs w:val="24"/>
        </w:rPr>
        <w:t xml:space="preserve">Known alternative splice variants</w:t>
      </w:r>
    </w:p>
    <w:p>
      <w:pPr>
        <w:spacing w:after="100" w:line="360"/>
      </w:pPr>
      <w:r>
        <w:rPr>
          <w:rFonts w:ascii="Arial" w:cs="Arial" w:eastAsia="Arial" w:hAnsi="Arial"/>
          <w:b/>
          <w:bCs/>
          <w:sz w:val="24"/>
          <w:szCs w:val="24"/>
        </w:rPr>
        <w:t xml:space="preserve">Tools &amp; Databases Called:</w:t>
      </w:r>
    </w:p>
    <w:p>
      <w:pPr>
        <w:pStyle w:val="ListParagraph"/>
        <w:numPr>
          <w:ilvl w:val="0"/>
          <w:numId w:val="0"/>
        </w:numPr>
        <w:spacing w:after="100" w:line="360"/>
      </w:pPr>
      <w:r>
        <w:rPr>
          <w:rFonts w:ascii="Arial" w:cs="Arial" w:eastAsia="Arial" w:hAnsi="Arial"/>
          <w:b/>
          <w:bCs/>
          <w:sz w:val="24"/>
          <w:szCs w:val="24"/>
        </w:rPr>
        <w:t xml:space="preserve">Ensembl/GENCODE Transcript Annotation: </w:t>
      </w:r>
      <w:r>
        <w:rPr>
          <w:rFonts w:ascii="Arial" w:cs="Arial" w:eastAsia="Arial" w:hAnsi="Arial"/>
          <w:sz w:val="24"/>
          <w:szCs w:val="24"/>
        </w:rPr>
        <w:t xml:space="preserve">Complete isoform and splice variant catalog</w:t>
      </w:r>
    </w:p>
    <w:p>
      <w:pPr>
        <w:pStyle w:val="ListParagraph"/>
        <w:numPr>
          <w:ilvl w:val="0"/>
          <w:numId w:val="0"/>
        </w:numPr>
        <w:spacing w:after="100" w:line="360"/>
      </w:pPr>
      <w:r>
        <w:rPr>
          <w:rFonts w:ascii="Arial" w:cs="Arial" w:eastAsia="Arial" w:hAnsi="Arial"/>
          <w:b/>
          <w:bCs/>
          <w:sz w:val="24"/>
          <w:szCs w:val="24"/>
        </w:rPr>
        <w:t xml:space="preserve">ESEfinder/SpliceAid: </w:t>
      </w:r>
      <w:r>
        <w:rPr>
          <w:rFonts w:ascii="Arial" w:cs="Arial" w:eastAsia="Arial" w:hAnsi="Arial"/>
          <w:sz w:val="24"/>
          <w:szCs w:val="24"/>
        </w:rPr>
        <w:t xml:space="preserve">Exonic splicing enhancer (ESE) and silencer prediction</w:t>
      </w:r>
    </w:p>
    <w:p>
      <w:pPr>
        <w:pStyle w:val="ListParagraph"/>
        <w:numPr>
          <w:ilvl w:val="0"/>
          <w:numId w:val="0"/>
        </w:numPr>
        <w:spacing w:after="100" w:line="360"/>
      </w:pPr>
      <w:r>
        <w:rPr>
          <w:rFonts w:ascii="Arial" w:cs="Arial" w:eastAsia="Arial" w:hAnsi="Arial"/>
          <w:b/>
          <w:bCs/>
          <w:sz w:val="24"/>
          <w:szCs w:val="24"/>
        </w:rPr>
        <w:t xml:space="preserve">MaxEntScan: </w:t>
      </w:r>
      <w:r>
        <w:rPr>
          <w:rFonts w:ascii="Arial" w:cs="Arial" w:eastAsia="Arial" w:hAnsi="Arial"/>
          <w:sz w:val="24"/>
          <w:szCs w:val="24"/>
        </w:rPr>
        <w:t xml:space="preserve">Splice site strength scoring and PWM analysis</w:t>
      </w:r>
    </w:p>
    <w:p>
      <w:pPr>
        <w:pStyle w:val="ListParagraph"/>
        <w:numPr>
          <w:ilvl w:val="0"/>
          <w:numId w:val="0"/>
        </w:numPr>
        <w:spacing w:after="100" w:line="360"/>
      </w:pPr>
      <w:r>
        <w:rPr>
          <w:rFonts w:ascii="Arial" w:cs="Arial" w:eastAsia="Arial" w:hAnsi="Arial"/>
          <w:b/>
          <w:bCs/>
          <w:sz w:val="24"/>
          <w:szCs w:val="24"/>
        </w:rPr>
        <w:t xml:space="preserve">RESCUE-ESE: </w:t>
      </w:r>
      <w:r>
        <w:rPr>
          <w:rFonts w:ascii="Arial" w:cs="Arial" w:eastAsia="Arial" w:hAnsi="Arial"/>
          <w:sz w:val="24"/>
          <w:szCs w:val="24"/>
        </w:rPr>
        <w:t xml:space="preserve">ESE and ESS prediction with regulatory context</w:t>
      </w:r>
    </w:p>
    <w:p>
      <w:pPr>
        <w:spacing w:after="100" w:line="360"/>
      </w:pPr>
      <w:r>
        <w:rPr>
          <w:rFonts w:ascii="Arial" w:cs="Arial" w:eastAsia="Arial" w:hAnsi="Arial"/>
          <w:b/>
          <w:bCs/>
          <w:sz w:val="24"/>
          <w:szCs w:val="24"/>
        </w:rPr>
        <w:t xml:space="preserve">Exemplary Sub-Prompts:</w:t>
      </w:r>
    </w:p>
    <w:p>
      <w:pPr>
        <w:pStyle w:val="ListParagraph"/>
        <w:numPr>
          <w:ilvl w:val="0"/>
          <w:numId w:val="0"/>
        </w:numPr>
        <w:spacing w:after="100" w:line="360"/>
      </w:pPr>
      <w:r>
        <w:rPr>
          <w:rFonts w:ascii="Arial" w:cs="Arial" w:eastAsia="Arial" w:hAnsi="Arial"/>
          <w:sz w:val="24"/>
          <w:szCs w:val="24"/>
        </w:rPr>
        <w:t xml:space="preserve">How many exons does this gene have, and what are their sizes?</w:t>
      </w:r>
    </w:p>
    <w:p>
      <w:pPr>
        <w:pStyle w:val="ListParagraph"/>
        <w:numPr>
          <w:ilvl w:val="0"/>
          <w:numId w:val="0"/>
        </w:numPr>
        <w:spacing w:after="100" w:line="360"/>
      </w:pPr>
      <w:r>
        <w:rPr>
          <w:rFonts w:ascii="Arial" w:cs="Arial" w:eastAsia="Arial" w:hAnsi="Arial"/>
          <w:sz w:val="24"/>
          <w:szCs w:val="24"/>
        </w:rPr>
        <w:t xml:space="preserve">Are there known splice variants, and which exons are alternatively spliced?</w:t>
      </w:r>
    </w:p>
    <w:p>
      <w:pPr>
        <w:pStyle w:val="ListParagraph"/>
        <w:numPr>
          <w:ilvl w:val="0"/>
          <w:numId w:val="0"/>
        </w:numPr>
        <w:spacing w:after="100" w:line="360"/>
      </w:pPr>
      <w:r>
        <w:rPr>
          <w:rFonts w:ascii="Arial" w:cs="Arial" w:eastAsia="Arial" w:hAnsi="Arial"/>
          <w:sz w:val="24"/>
          <w:szCs w:val="24"/>
        </w:rPr>
        <w:t xml:space="preserve">What is the strength of the canonical splice sites (donor/acceptor)?</w:t>
      </w:r>
    </w:p>
    <w:p>
      <w:pPr>
        <w:pStyle w:val="ListParagraph"/>
        <w:numPr>
          <w:ilvl w:val="0"/>
          <w:numId w:val="0"/>
        </w:numPr>
        <w:spacing w:after="100" w:line="360"/>
      </w:pPr>
      <w:r>
        <w:rPr>
          <w:rFonts w:ascii="Arial" w:cs="Arial" w:eastAsia="Arial" w:hAnsi="Arial"/>
          <w:sz w:val="24"/>
          <w:szCs w:val="24"/>
        </w:rPr>
        <w:t xml:space="preserve">Are there weak splice sites that could be exploited for exon-skipping therapy?</w:t>
      </w:r>
    </w:p>
    <w:p>
      <w:pPr>
        <w:spacing w:after="100" w:line="360"/>
      </w:pPr>
      <w:r>
        <w:rPr>
          <w:rFonts w:ascii="Arial" w:cs="Arial" w:eastAsia="Arial" w:hAnsi="Arial"/>
          <w:b/>
          <w:bCs/>
          <w:sz w:val="24"/>
          <w:szCs w:val="24"/>
        </w:rPr>
        <w:t xml:space="preserve">Expected Outputs:</w:t>
      </w:r>
    </w:p>
    <w:p>
      <w:pPr>
        <w:pStyle w:val="ListParagraph"/>
        <w:numPr>
          <w:ilvl w:val="0"/>
          <w:numId w:val="0"/>
        </w:numPr>
        <w:spacing w:after="100" w:line="360"/>
      </w:pPr>
      <w:r>
        <w:rPr>
          <w:rFonts w:ascii="Arial" w:cs="Arial" w:eastAsia="Arial" w:hAnsi="Arial"/>
          <w:sz w:val="24"/>
          <w:szCs w:val="24"/>
        </w:rPr>
        <w:t xml:space="preserve">Exon count, sizes, and genomic coordinates</w:t>
      </w:r>
    </w:p>
    <w:p>
      <w:pPr>
        <w:pStyle w:val="ListParagraph"/>
        <w:numPr>
          <w:ilvl w:val="0"/>
          <w:numId w:val="0"/>
        </w:numPr>
        <w:spacing w:after="100" w:line="360"/>
      </w:pPr>
      <w:r>
        <w:rPr>
          <w:rFonts w:ascii="Arial" w:cs="Arial" w:eastAsia="Arial" w:hAnsi="Arial"/>
          <w:sz w:val="24"/>
          <w:szCs w:val="24"/>
        </w:rPr>
        <w:t xml:space="preserve">Splice site strength scores (MaxEnt scores for 5' and 3' sites)</w:t>
      </w:r>
    </w:p>
    <w:p>
      <w:pPr>
        <w:pStyle w:val="ListParagraph"/>
        <w:numPr>
          <w:ilvl w:val="0"/>
          <w:numId w:val="0"/>
        </w:numPr>
        <w:spacing w:after="100" w:line="360"/>
      </w:pPr>
      <w:r>
        <w:rPr>
          <w:rFonts w:ascii="Arial" w:cs="Arial" w:eastAsia="Arial" w:hAnsi="Arial"/>
          <w:sz w:val="24"/>
          <w:szCs w:val="24"/>
        </w:rPr>
        <w:t xml:space="preserve">ESE and ESS element predictions and locations</w:t>
      </w:r>
    </w:p>
    <w:p>
      <w:pPr>
        <w:pStyle w:val="ListParagraph"/>
        <w:numPr>
          <w:ilvl w:val="0"/>
          <w:numId w:val="0"/>
        </w:numPr>
        <w:spacing w:after="100" w:line="360"/>
      </w:pPr>
      <w:r>
        <w:rPr>
          <w:rFonts w:ascii="Arial" w:cs="Arial" w:eastAsia="Arial" w:hAnsi="Arial"/>
          <w:sz w:val="24"/>
          <w:szCs w:val="24"/>
        </w:rPr>
        <w:t xml:space="preserve">Isoform complexity score (number of alternative splice variants)</w:t>
      </w:r>
    </w:p>
    <w:p>
      <w:pPr>
        <w:pStyle w:val="ListParagraph"/>
        <w:numPr>
          <w:ilvl w:val="0"/>
          <w:numId w:val="0"/>
        </w:numPr>
        <w:spacing w:after="100" w:line="360"/>
      </w:pPr>
      <w:r>
        <w:rPr>
          <w:rFonts w:ascii="Arial" w:cs="Arial" w:eastAsia="Arial" w:hAnsi="Arial"/>
          <w:sz w:val="24"/>
          <w:szCs w:val="24"/>
        </w:rPr>
        <w:t xml:space="preserve">Splice-modulation therapeutic feasibility score</w:t>
      </w:r>
    </w:p>
    <w:p>
      <w:pPr>
        <w:pStyle w:val="ListParagraph"/>
        <w:numPr>
          <w:ilvl w:val="0"/>
          <w:numId w:val="0"/>
        </w:numPr>
        <w:spacing w:after="100" w:line="360"/>
      </w:pPr>
      <w:r>
        <w:rPr>
          <w:rFonts w:ascii="Arial" w:cs="Arial" w:eastAsia="Arial" w:hAnsi="Arial"/>
          <w:sz w:val="24"/>
          <w:szCs w:val="24"/>
        </w:rPr>
        <w:t xml:space="preserve">Compatibility assessment for exon-skipping vs. gapmer approaches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BED file with exon annotations + JSON splice site scores + CSV element predictions</w:t>
      </w:r>
    </w:p>
    <w:p>
      <w:pPr>
        <w:pStyle w:val="Heading2"/>
        <w:spacing w:before="200" w:after="200"/>
      </w:pPr>
      <w:r>
        <w:t xml:space="preserve">Stage 5: Empirical Success Feature Benchmarking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Compare transcript features against known successful ASO drugs (nusinersen/SMN2, tofersen/SOD1, inotersen/TTR) to assess feature similarity and therapeutic precedent.</w:t>
      </w:r>
    </w:p>
    <w:p>
      <w:pPr>
        <w:spacing w:after="100" w:line="360"/>
      </w:pPr>
      <w:r>
        <w:rPr>
          <w:rFonts w:ascii="Arial" w:cs="Arial" w:eastAsia="Arial" w:hAnsi="Arial"/>
          <w:b/>
          <w:bCs/>
          <w:sz w:val="24"/>
          <w:szCs w:val="24"/>
        </w:rPr>
        <w:t xml:space="preserve">Inputs:</w:t>
      </w:r>
    </w:p>
    <w:p>
      <w:pPr>
        <w:pStyle w:val="ListParagraph"/>
        <w:numPr>
          <w:ilvl w:val="0"/>
          <w:numId w:val="0"/>
        </w:numPr>
        <w:spacing w:after="100" w:line="360"/>
      </w:pPr>
      <w:r>
        <w:rPr>
          <w:rFonts w:ascii="Arial" w:cs="Arial" w:eastAsia="Arial" w:hAnsi="Arial"/>
          <w:sz w:val="24"/>
          <w:szCs w:val="24"/>
        </w:rPr>
        <w:t xml:space="preserve">All features from Stages 1-4 for the target transcript</w:t>
      </w:r>
    </w:p>
    <w:p>
      <w:pPr>
        <w:pStyle w:val="ListParagraph"/>
        <w:numPr>
          <w:ilvl w:val="0"/>
          <w:numId w:val="0"/>
        </w:numPr>
        <w:spacing w:after="100" w:line="360"/>
      </w:pPr>
      <w:r>
        <w:rPr>
          <w:rFonts w:ascii="Arial" w:cs="Arial" w:eastAsia="Arial" w:hAnsi="Arial"/>
          <w:sz w:val="24"/>
          <w:szCs w:val="24"/>
        </w:rPr>
        <w:t xml:space="preserve">Success feature profile from benchmark ASO drugs</w:t>
      </w:r>
    </w:p>
    <w:p>
      <w:pPr>
        <w:pStyle w:val="ListParagraph"/>
        <w:numPr>
          <w:ilvl w:val="0"/>
          <w:numId w:val="0"/>
        </w:numPr>
        <w:spacing w:after="100" w:line="360"/>
      </w:pPr>
      <w:r>
        <w:rPr>
          <w:rFonts w:ascii="Arial" w:cs="Arial" w:eastAsia="Arial" w:hAnsi="Arial"/>
          <w:sz w:val="24"/>
          <w:szCs w:val="24"/>
        </w:rPr>
        <w:t xml:space="preserve">Clinical efficacy and safety data</w:t>
      </w:r>
    </w:p>
    <w:p>
      <w:pPr>
        <w:spacing w:after="100" w:line="360"/>
      </w:pPr>
      <w:r>
        <w:rPr>
          <w:rFonts w:ascii="Arial" w:cs="Arial" w:eastAsia="Arial" w:hAnsi="Arial"/>
          <w:b/>
          <w:bCs/>
          <w:sz w:val="24"/>
          <w:szCs w:val="24"/>
        </w:rPr>
        <w:t xml:space="preserve">Tools &amp; Databases Called:</w:t>
      </w:r>
    </w:p>
    <w:p>
      <w:pPr>
        <w:pStyle w:val="ListParagraph"/>
        <w:numPr>
          <w:ilvl w:val="0"/>
          <w:numId w:val="0"/>
        </w:numPr>
        <w:spacing w:after="100" w:line="360"/>
      </w:pPr>
      <w:r>
        <w:rPr>
          <w:rFonts w:ascii="Arial" w:cs="Arial" w:eastAsia="Arial" w:hAnsi="Arial"/>
          <w:b/>
          <w:bCs/>
          <w:sz w:val="24"/>
          <w:szCs w:val="24"/>
        </w:rPr>
        <w:t xml:space="preserve">Published ASO Clinical Success Data: </w:t>
      </w:r>
      <w:r>
        <w:rPr>
          <w:rFonts w:ascii="Arial" w:cs="Arial" w:eastAsia="Arial" w:hAnsi="Arial"/>
          <w:sz w:val="24"/>
          <w:szCs w:val="24"/>
        </w:rPr>
        <w:t xml:space="preserve">Literature compilation of approved ASO therapeutics</w:t>
      </w:r>
    </w:p>
    <w:p>
      <w:pPr>
        <w:pStyle w:val="ListParagraph"/>
        <w:numPr>
          <w:ilvl w:val="0"/>
          <w:numId w:val="0"/>
        </w:numPr>
        <w:spacing w:after="100" w:line="360"/>
      </w:pPr>
      <w:r>
        <w:rPr>
          <w:rFonts w:ascii="Arial" w:cs="Arial" w:eastAsia="Arial" w:hAnsi="Arial"/>
          <w:b/>
          <w:bCs/>
          <w:sz w:val="24"/>
          <w:szCs w:val="24"/>
        </w:rPr>
        <w:t xml:space="preserve">PubMed: </w:t>
      </w:r>
      <w:r>
        <w:rPr>
          <w:rFonts w:ascii="Arial" w:cs="Arial" w:eastAsia="Arial" w:hAnsi="Arial"/>
          <w:sz w:val="24"/>
          <w:szCs w:val="24"/>
        </w:rPr>
        <w:t xml:space="preserve">Query clinical trial results, mechanistic studies, and outcomes</w:t>
      </w:r>
    </w:p>
    <w:p>
      <w:pPr>
        <w:pStyle w:val="ListParagraph"/>
        <w:numPr>
          <w:ilvl w:val="0"/>
          <w:numId w:val="0"/>
        </w:numPr>
        <w:spacing w:after="100" w:line="360"/>
      </w:pPr>
      <w:r>
        <w:rPr>
          <w:rFonts w:ascii="Arial" w:cs="Arial" w:eastAsia="Arial" w:hAnsi="Arial"/>
          <w:b/>
          <w:bCs/>
          <w:sz w:val="24"/>
          <w:szCs w:val="24"/>
        </w:rPr>
        <w:t xml:space="preserve">FDA/DailyMed: </w:t>
      </w:r>
      <w:r>
        <w:rPr>
          <w:rFonts w:ascii="Arial" w:cs="Arial" w:eastAsia="Arial" w:hAnsi="Arial"/>
          <w:sz w:val="24"/>
          <w:szCs w:val="24"/>
        </w:rPr>
        <w:t xml:space="preserve">Official drug labels, adverse event profiles, pharmacokinetics</w:t>
      </w:r>
    </w:p>
    <w:p>
      <w:pPr>
        <w:pStyle w:val="ListParagraph"/>
        <w:numPr>
          <w:ilvl w:val="0"/>
          <w:numId w:val="0"/>
        </w:numPr>
        <w:spacing w:after="100" w:line="360"/>
      </w:pPr>
      <w:r>
        <w:rPr>
          <w:rFonts w:ascii="Arial" w:cs="Arial" w:eastAsia="Arial" w:hAnsi="Arial"/>
          <w:b/>
          <w:bCs/>
          <w:sz w:val="24"/>
          <w:szCs w:val="24"/>
        </w:rPr>
        <w:t xml:space="preserve">Sapphire Success Feature Database: </w:t>
      </w:r>
      <w:r>
        <w:rPr>
          <w:rFonts w:ascii="Arial" w:cs="Arial" w:eastAsia="Arial" w:hAnsi="Arial"/>
          <w:sz w:val="24"/>
          <w:szCs w:val="24"/>
        </w:rPr>
        <w:t xml:space="preserve">Internal curated benchmark features from successful ASOs</w:t>
      </w:r>
    </w:p>
    <w:p>
      <w:pPr>
        <w:spacing w:after="100" w:line="360"/>
      </w:pPr>
      <w:r>
        <w:rPr>
          <w:rFonts w:ascii="Arial" w:cs="Arial" w:eastAsia="Arial" w:hAnsi="Arial"/>
          <w:b/>
          <w:bCs/>
          <w:sz w:val="24"/>
          <w:szCs w:val="24"/>
        </w:rPr>
        <w:t xml:space="preserve">Exemplary Sub-Prompts:</w:t>
      </w:r>
    </w:p>
    <w:p>
      <w:pPr>
        <w:pStyle w:val="ListParagraph"/>
        <w:numPr>
          <w:ilvl w:val="0"/>
          <w:numId w:val="0"/>
        </w:numPr>
        <w:spacing w:after="100" w:line="360"/>
      </w:pPr>
      <w:r>
        <w:rPr>
          <w:rFonts w:ascii="Arial" w:cs="Arial" w:eastAsia="Arial" w:hAnsi="Arial"/>
          <w:sz w:val="24"/>
          <w:szCs w:val="24"/>
        </w:rPr>
        <w:t xml:space="preserve">How do the target transcript features compare to nusinersen-targeted SMN2?</w:t>
      </w:r>
    </w:p>
    <w:p>
      <w:pPr>
        <w:pStyle w:val="ListParagraph"/>
        <w:numPr>
          <w:ilvl w:val="0"/>
          <w:numId w:val="0"/>
        </w:numPr>
        <w:spacing w:after="100" w:line="360"/>
      </w:pPr>
      <w:r>
        <w:rPr>
          <w:rFonts w:ascii="Arial" w:cs="Arial" w:eastAsia="Arial" w:hAnsi="Arial"/>
          <w:sz w:val="24"/>
          <w:szCs w:val="24"/>
        </w:rPr>
        <w:t xml:space="preserve">What are the key success features of tofersen (SOD1) that apply here?</w:t>
      </w:r>
    </w:p>
    <w:p>
      <w:pPr>
        <w:pStyle w:val="ListParagraph"/>
        <w:numPr>
          <w:ilvl w:val="0"/>
          <w:numId w:val="0"/>
        </w:numPr>
        <w:spacing w:after="100" w:line="360"/>
      </w:pPr>
      <w:r>
        <w:rPr>
          <w:rFonts w:ascii="Arial" w:cs="Arial" w:eastAsia="Arial" w:hAnsi="Arial"/>
          <w:sz w:val="24"/>
          <w:szCs w:val="24"/>
        </w:rPr>
        <w:t xml:space="preserve">Is the target transcript as stable as the successful benchmark transcripts?</w:t>
      </w:r>
    </w:p>
    <w:p>
      <w:pPr>
        <w:pStyle w:val="ListParagraph"/>
        <w:numPr>
          <w:ilvl w:val="0"/>
          <w:numId w:val="0"/>
        </w:numPr>
        <w:spacing w:after="100" w:line="360"/>
      </w:pPr>
      <w:r>
        <w:rPr>
          <w:rFonts w:ascii="Arial" w:cs="Arial" w:eastAsia="Arial" w:hAnsi="Arial"/>
          <w:sz w:val="24"/>
          <w:szCs w:val="24"/>
        </w:rPr>
        <w:t xml:space="preserve">How many high-confidence RNase H sites does this transcript have vs. successful comparators?</w:t>
      </w:r>
    </w:p>
    <w:p>
      <w:pPr>
        <w:spacing w:after="100" w:line="360"/>
      </w:pPr>
      <w:r>
        <w:rPr>
          <w:rFonts w:ascii="Arial" w:cs="Arial" w:eastAsia="Arial" w:hAnsi="Arial"/>
          <w:b/>
          <w:bCs/>
          <w:sz w:val="24"/>
          <w:szCs w:val="24"/>
        </w:rPr>
        <w:t xml:space="preserve">Expected Outputs:</w:t>
      </w:r>
    </w:p>
    <w:p>
      <w:pPr>
        <w:pStyle w:val="ListParagraph"/>
        <w:numPr>
          <w:ilvl w:val="0"/>
          <w:numId w:val="0"/>
        </w:numPr>
        <w:spacing w:after="100" w:line="360"/>
      </w:pPr>
      <w:r>
        <w:rPr>
          <w:rFonts w:ascii="Arial" w:cs="Arial" w:eastAsia="Arial" w:hAnsi="Arial"/>
          <w:sz w:val="24"/>
          <w:szCs w:val="24"/>
        </w:rPr>
        <w:t xml:space="preserve">Feature comparison matrix (target vs. 3+ successful ASO benchmarks)</w:t>
      </w:r>
    </w:p>
    <w:p>
      <w:pPr>
        <w:pStyle w:val="ListParagraph"/>
        <w:numPr>
          <w:ilvl w:val="0"/>
          <w:numId w:val="0"/>
        </w:numPr>
        <w:spacing w:after="100" w:line="360"/>
      </w:pPr>
      <w:r>
        <w:rPr>
          <w:rFonts w:ascii="Arial" w:cs="Arial" w:eastAsia="Arial" w:hAnsi="Arial"/>
          <w:sz w:val="24"/>
          <w:szCs w:val="24"/>
        </w:rPr>
        <w:t xml:space="preserve">Similarity score to each successful precedent (0-100)</w:t>
      </w:r>
    </w:p>
    <w:p>
      <w:pPr>
        <w:pStyle w:val="ListParagraph"/>
        <w:numPr>
          <w:ilvl w:val="0"/>
          <w:numId w:val="0"/>
        </w:numPr>
        <w:spacing w:after="100" w:line="360"/>
      </w:pPr>
      <w:r>
        <w:rPr>
          <w:rFonts w:ascii="Arial" w:cs="Arial" w:eastAsia="Arial" w:hAnsi="Arial"/>
          <w:sz w:val="24"/>
          <w:szCs w:val="24"/>
        </w:rPr>
        <w:t xml:space="preserve">Feature-level justification for similarities/differences</w:t>
      </w:r>
    </w:p>
    <w:p>
      <w:pPr>
        <w:pStyle w:val="ListParagraph"/>
        <w:numPr>
          <w:ilvl w:val="0"/>
          <w:numId w:val="0"/>
        </w:numPr>
        <w:spacing w:after="100" w:line="360"/>
      </w:pPr>
      <w:r>
        <w:rPr>
          <w:rFonts w:ascii="Arial" w:cs="Arial" w:eastAsia="Arial" w:hAnsi="Arial"/>
          <w:sz w:val="24"/>
          <w:szCs w:val="24"/>
        </w:rPr>
        <w:t xml:space="preserve">Precedent strength assessment (strong/moderate/weak analogy)</w:t>
      </w:r>
    </w:p>
    <w:p>
      <w:pPr>
        <w:pStyle w:val="ListParagraph"/>
        <w:numPr>
          <w:ilvl w:val="0"/>
          <w:numId w:val="0"/>
        </w:numPr>
        <w:spacing w:after="100" w:line="360"/>
      </w:pPr>
      <w:r>
        <w:rPr>
          <w:rFonts w:ascii="Arial" w:cs="Arial" w:eastAsia="Arial" w:hAnsi="Arial"/>
          <w:sz w:val="24"/>
          <w:szCs w:val="24"/>
        </w:rPr>
        <w:t xml:space="preserve">Clinical success probability estimate based on feature matching</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 comparison matrix + JSON feature mapping + PDF summary report</w:t>
      </w:r>
    </w:p>
    <w:p>
      <w:pPr>
        <w:pStyle w:val="Heading2"/>
        <w:spacing w:before="200" w:after="200"/>
      </w:pPr>
      <w:r>
        <w:t xml:space="preserve">Stage 6: Integrated Druggability Scoring &amp; Recommendation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Composite scoring (0-100) integrating all transcript features, with Go/No-Go threshold and confidence assessment. Final therapeutic recommendation based on integrated evidence.</w:t>
      </w:r>
    </w:p>
    <w:p>
      <w:pPr>
        <w:spacing w:after="100" w:line="360"/>
      </w:pPr>
      <w:r>
        <w:rPr>
          <w:rFonts w:ascii="Arial" w:cs="Arial" w:eastAsia="Arial" w:hAnsi="Arial"/>
          <w:b/>
          <w:bCs/>
          <w:sz w:val="24"/>
          <w:szCs w:val="24"/>
        </w:rPr>
        <w:t xml:space="preserve">Inputs:</w:t>
      </w:r>
    </w:p>
    <w:p>
      <w:pPr>
        <w:pStyle w:val="ListParagraph"/>
        <w:numPr>
          <w:ilvl w:val="0"/>
          <w:numId w:val="0"/>
        </w:numPr>
        <w:spacing w:after="100" w:line="360"/>
      </w:pPr>
      <w:r>
        <w:rPr>
          <w:rFonts w:ascii="Arial" w:cs="Arial" w:eastAsia="Arial" w:hAnsi="Arial"/>
          <w:sz w:val="24"/>
          <w:szCs w:val="24"/>
        </w:rPr>
        <w:t xml:space="preserve">All outputs from Stages 1-5</w:t>
      </w:r>
    </w:p>
    <w:p>
      <w:pPr>
        <w:pStyle w:val="ListParagraph"/>
        <w:numPr>
          <w:ilvl w:val="0"/>
          <w:numId w:val="0"/>
        </w:numPr>
        <w:spacing w:after="100" w:line="360"/>
      </w:pPr>
      <w:r>
        <w:rPr>
          <w:rFonts w:ascii="Arial" w:cs="Arial" w:eastAsia="Arial" w:hAnsi="Arial"/>
          <w:sz w:val="24"/>
          <w:szCs w:val="24"/>
        </w:rPr>
        <w:t xml:space="preserve">Weighted scoring criteria for each feature category</w:t>
      </w:r>
    </w:p>
    <w:p>
      <w:pPr>
        <w:pStyle w:val="ListParagraph"/>
        <w:numPr>
          <w:ilvl w:val="0"/>
          <w:numId w:val="0"/>
        </w:numPr>
        <w:spacing w:after="100" w:line="360"/>
      </w:pPr>
      <w:r>
        <w:rPr>
          <w:rFonts w:ascii="Arial" w:cs="Arial" w:eastAsia="Arial" w:hAnsi="Arial"/>
          <w:sz w:val="24"/>
          <w:szCs w:val="24"/>
        </w:rPr>
        <w:t xml:space="preserve">Go/No-Go threshold parameters (typically 60-70 for advancement)</w:t>
      </w:r>
    </w:p>
    <w:p>
      <w:pPr>
        <w:spacing w:after="100" w:line="360"/>
      </w:pPr>
      <w:r>
        <w:rPr>
          <w:rFonts w:ascii="Arial" w:cs="Arial" w:eastAsia="Arial" w:hAnsi="Arial"/>
          <w:b/>
          <w:bCs/>
          <w:sz w:val="24"/>
          <w:szCs w:val="24"/>
        </w:rPr>
        <w:t xml:space="preserve">Tools &amp; Databases Called:</w:t>
      </w:r>
    </w:p>
    <w:p>
      <w:pPr>
        <w:pStyle w:val="ListParagraph"/>
        <w:numPr>
          <w:ilvl w:val="0"/>
          <w:numId w:val="0"/>
        </w:numPr>
        <w:spacing w:after="100" w:line="360"/>
      </w:pPr>
      <w:r>
        <w:rPr>
          <w:rFonts w:ascii="Arial" w:cs="Arial" w:eastAsia="Arial" w:hAnsi="Arial"/>
          <w:b/>
          <w:bCs/>
          <w:sz w:val="24"/>
          <w:szCs w:val="24"/>
        </w:rPr>
        <w:t xml:space="preserve">Sapphire Druggability Scoring Engine: </w:t>
      </w:r>
      <w:r>
        <w:rPr>
          <w:rFonts w:ascii="Arial" w:cs="Arial" w:eastAsia="Arial" w:hAnsi="Arial"/>
          <w:sz w:val="24"/>
          <w:szCs w:val="24"/>
        </w:rPr>
        <w:t xml:space="preserve">Proprietary weighted algorithm integrating all transcript features</w:t>
      </w:r>
    </w:p>
    <w:p>
      <w:pPr>
        <w:pStyle w:val="ListParagraph"/>
        <w:numPr>
          <w:ilvl w:val="0"/>
          <w:numId w:val="0"/>
        </w:numPr>
        <w:spacing w:after="100" w:line="360"/>
      </w:pPr>
      <w:r>
        <w:rPr>
          <w:rFonts w:ascii="Arial" w:cs="Arial" w:eastAsia="Arial" w:hAnsi="Arial"/>
          <w:b/>
          <w:bCs/>
          <w:sz w:val="24"/>
          <w:szCs w:val="24"/>
        </w:rPr>
        <w:t xml:space="preserve">Quiver Confidence Scoring: </w:t>
      </w:r>
      <w:r>
        <w:rPr>
          <w:rFonts w:ascii="Arial" w:cs="Arial" w:eastAsia="Arial" w:hAnsi="Arial"/>
          <w:sz w:val="24"/>
          <w:szCs w:val="24"/>
        </w:rPr>
        <w:t xml:space="preserve">Uncertainty and confidence estimation for final score</w:t>
      </w:r>
    </w:p>
    <w:p>
      <w:pPr>
        <w:pStyle w:val="ListParagraph"/>
        <w:numPr>
          <w:ilvl w:val="0"/>
          <w:numId w:val="0"/>
        </w:numPr>
        <w:spacing w:after="100" w:line="360"/>
      </w:pPr>
      <w:r>
        <w:rPr>
          <w:rFonts w:ascii="Arial" w:cs="Arial" w:eastAsia="Arial" w:hAnsi="Arial"/>
          <w:b/>
          <w:bCs/>
          <w:sz w:val="24"/>
          <w:szCs w:val="24"/>
        </w:rPr>
        <w:t xml:space="preserve">Benchmark Comparisons: </w:t>
      </w:r>
      <w:r>
        <w:rPr>
          <w:rFonts w:ascii="Arial" w:cs="Arial" w:eastAsia="Arial" w:hAnsi="Arial"/>
          <w:sz w:val="24"/>
          <w:szCs w:val="24"/>
        </w:rPr>
        <w:t xml:space="preserve">Contextual scoring relative to known drug targets</w:t>
      </w:r>
    </w:p>
    <w:p>
      <w:pPr>
        <w:spacing w:after="100" w:line="360"/>
      </w:pPr>
      <w:r>
        <w:rPr>
          <w:rFonts w:ascii="Arial" w:cs="Arial" w:eastAsia="Arial" w:hAnsi="Arial"/>
          <w:b/>
          <w:bCs/>
          <w:sz w:val="24"/>
          <w:szCs w:val="24"/>
        </w:rPr>
        <w:t xml:space="preserve">Exemplary Sub-Prompts:</w:t>
      </w:r>
    </w:p>
    <w:p>
      <w:pPr>
        <w:pStyle w:val="ListParagraph"/>
        <w:numPr>
          <w:ilvl w:val="0"/>
          <w:numId w:val="0"/>
        </w:numPr>
        <w:spacing w:after="100" w:line="360"/>
      </w:pPr>
      <w:r>
        <w:rPr>
          <w:rFonts w:ascii="Arial" w:cs="Arial" w:eastAsia="Arial" w:hAnsi="Arial"/>
          <w:sz w:val="24"/>
          <w:szCs w:val="24"/>
        </w:rPr>
        <w:t xml:space="preserve">What is the integrated druggability score for this transcript?</w:t>
      </w:r>
    </w:p>
    <w:p>
      <w:pPr>
        <w:pStyle w:val="ListParagraph"/>
        <w:numPr>
          <w:ilvl w:val="0"/>
          <w:numId w:val="0"/>
        </w:numPr>
        <w:spacing w:after="100" w:line="360"/>
      </w:pPr>
      <w:r>
        <w:rPr>
          <w:rFonts w:ascii="Arial" w:cs="Arial" w:eastAsia="Arial" w:hAnsi="Arial"/>
          <w:sz w:val="24"/>
          <w:szCs w:val="24"/>
        </w:rPr>
        <w:t xml:space="preserve">Are there any critical weakness factors that would lower the score significantly?</w:t>
      </w:r>
    </w:p>
    <w:p>
      <w:pPr>
        <w:pStyle w:val="ListParagraph"/>
        <w:numPr>
          <w:ilvl w:val="0"/>
          <w:numId w:val="0"/>
        </w:numPr>
        <w:spacing w:after="100" w:line="360"/>
      </w:pPr>
      <w:r>
        <w:rPr>
          <w:rFonts w:ascii="Arial" w:cs="Arial" w:eastAsia="Arial" w:hAnsi="Arial"/>
          <w:sz w:val="24"/>
          <w:szCs w:val="24"/>
        </w:rPr>
        <w:t xml:space="preserve">How does this score compare to known successful ASO targets?</w:t>
      </w:r>
    </w:p>
    <w:p>
      <w:pPr>
        <w:pStyle w:val="ListParagraph"/>
        <w:numPr>
          <w:ilvl w:val="0"/>
          <w:numId w:val="0"/>
        </w:numPr>
        <w:spacing w:after="100" w:line="360"/>
      </w:pPr>
      <w:r>
        <w:rPr>
          <w:rFonts w:ascii="Arial" w:cs="Arial" w:eastAsia="Arial" w:hAnsi="Arial"/>
          <w:sz w:val="24"/>
          <w:szCs w:val="24"/>
        </w:rPr>
        <w:t xml:space="preserve">What is the confidence interval for the druggability score?</w:t>
      </w:r>
    </w:p>
    <w:p>
      <w:pPr>
        <w:spacing w:after="100" w:line="360"/>
      </w:pPr>
      <w:r>
        <w:rPr>
          <w:rFonts w:ascii="Arial" w:cs="Arial" w:eastAsia="Arial" w:hAnsi="Arial"/>
          <w:b/>
          <w:bCs/>
          <w:sz w:val="24"/>
          <w:szCs w:val="24"/>
        </w:rPr>
        <w:t xml:space="preserve">Expected Outputs:</w:t>
      </w:r>
    </w:p>
    <w:p>
      <w:pPr>
        <w:pStyle w:val="ListParagraph"/>
        <w:numPr>
          <w:ilvl w:val="0"/>
          <w:numId w:val="0"/>
        </w:numPr>
        <w:spacing w:after="100" w:line="360"/>
      </w:pPr>
      <w:r>
        <w:rPr>
          <w:rFonts w:ascii="Arial" w:cs="Arial" w:eastAsia="Arial" w:hAnsi="Arial"/>
          <w:sz w:val="24"/>
          <w:szCs w:val="24"/>
        </w:rPr>
        <w:t xml:space="preserve">Final Druggability Score (0-100 scale)</w:t>
      </w:r>
    </w:p>
    <w:p>
      <w:pPr>
        <w:pStyle w:val="ListParagraph"/>
        <w:numPr>
          <w:ilvl w:val="0"/>
          <w:numId w:val="0"/>
        </w:numPr>
        <w:spacing w:after="100" w:line="360"/>
      </w:pPr>
      <w:r>
        <w:rPr>
          <w:rFonts w:ascii="Arial" w:cs="Arial" w:eastAsia="Arial" w:hAnsi="Arial"/>
          <w:sz w:val="24"/>
          <w:szCs w:val="24"/>
        </w:rPr>
        <w:t xml:space="preserve">Confidence interval and methodology explanation</w:t>
      </w:r>
    </w:p>
    <w:p>
      <w:pPr>
        <w:pStyle w:val="ListParagraph"/>
        <w:numPr>
          <w:ilvl w:val="0"/>
          <w:numId w:val="0"/>
        </w:numPr>
        <w:spacing w:after="100" w:line="360"/>
      </w:pPr>
      <w:r>
        <w:rPr>
          <w:rFonts w:ascii="Arial" w:cs="Arial" w:eastAsia="Arial" w:hAnsi="Arial"/>
          <w:sz w:val="24"/>
          <w:szCs w:val="24"/>
        </w:rPr>
        <w:t xml:space="preserve">Go/No-Go recommendation (advancement threshold usually ≥70)</w:t>
      </w:r>
    </w:p>
    <w:p>
      <w:pPr>
        <w:pStyle w:val="ListParagraph"/>
        <w:numPr>
          <w:ilvl w:val="0"/>
          <w:numId w:val="0"/>
        </w:numPr>
        <w:spacing w:after="100" w:line="360"/>
      </w:pPr>
      <w:r>
        <w:rPr>
          <w:rFonts w:ascii="Arial" w:cs="Arial" w:eastAsia="Arial" w:hAnsi="Arial"/>
          <w:sz w:val="24"/>
          <w:szCs w:val="24"/>
        </w:rPr>
        <w:t xml:space="preserve">Top 3 strength factors supporting the recommendation</w:t>
      </w:r>
    </w:p>
    <w:p>
      <w:pPr>
        <w:pStyle w:val="ListParagraph"/>
        <w:numPr>
          <w:ilvl w:val="0"/>
          <w:numId w:val="0"/>
        </w:numPr>
        <w:spacing w:after="100" w:line="360"/>
      </w:pPr>
      <w:r>
        <w:rPr>
          <w:rFonts w:ascii="Arial" w:cs="Arial" w:eastAsia="Arial" w:hAnsi="Arial"/>
          <w:sz w:val="24"/>
          <w:szCs w:val="24"/>
        </w:rPr>
        <w:t xml:space="preserve">Top 3 risk factors or limitations</w:t>
      </w:r>
    </w:p>
    <w:p>
      <w:pPr>
        <w:pStyle w:val="ListParagraph"/>
        <w:numPr>
          <w:ilvl w:val="0"/>
          <w:numId w:val="0"/>
        </w:numPr>
        <w:spacing w:after="100" w:line="360"/>
      </w:pPr>
      <w:r>
        <w:rPr>
          <w:rFonts w:ascii="Arial" w:cs="Arial" w:eastAsia="Arial" w:hAnsi="Arial"/>
          <w:sz w:val="24"/>
          <w:szCs w:val="24"/>
        </w:rPr>
        <w:t xml:space="preserve">Suggested next steps (additional validation, experimental work, or clinical entry)</w:t>
      </w:r>
    </w:p>
    <w:p>
      <w:pPr>
        <w:pStyle w:val="ListParagraph"/>
        <w:numPr>
          <w:ilvl w:val="0"/>
          <w:numId w:val="0"/>
        </w:numPr>
        <w:spacing w:after="100" w:line="360"/>
      </w:pPr>
      <w:r>
        <w:rPr>
          <w:rFonts w:ascii="Arial" w:cs="Arial" w:eastAsia="Arial" w:hAnsi="Arial"/>
          <w:sz w:val="24"/>
          <w:szCs w:val="24"/>
        </w:rPr>
        <w:t xml:space="preserve">Executive summary (1-2 paragraphs)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JSON report with scores + PDF visual dashboard + Executive summary document</w:t>
      </w:r>
    </w:p>
    <w:p>
      <w:pPr>
        <w:pStyle w:val="Heading2"/>
        <w:spacing w:before="200" w:after="200"/>
      </w:pPr>
      <w:r>
        <w:t xml:space="preserve">Tools &amp; Databases Summary</w:t>
      </w:r>
    </w:p>
    <w:p>
      <w:pPr>
        <w:pStyle w:val="ListParagraph"/>
        <w:numPr>
          <w:ilvl w:val="0"/>
          <w:numId w:val="0"/>
        </w:numPr>
        <w:spacing w:after="100" w:line="360"/>
      </w:pPr>
      <w:r>
        <w:rPr>
          <w:rFonts w:ascii="Arial" w:cs="Arial" w:eastAsia="Arial" w:hAnsi="Arial"/>
          <w:sz w:val="24"/>
          <w:szCs w:val="24"/>
        </w:rPr>
        <w:t xml:space="preserve">Ensembl REST API</w:t>
      </w:r>
    </w:p>
    <w:p>
      <w:pPr>
        <w:pStyle w:val="ListParagraph"/>
        <w:numPr>
          <w:ilvl w:val="0"/>
          <w:numId w:val="0"/>
        </w:numPr>
        <w:spacing w:after="100" w:line="360"/>
      </w:pPr>
      <w:r>
        <w:rPr>
          <w:rFonts w:ascii="Arial" w:cs="Arial" w:eastAsia="Arial" w:hAnsi="Arial"/>
          <w:sz w:val="24"/>
          <w:szCs w:val="24"/>
        </w:rPr>
        <w:t xml:space="preserve">NCBI RefSeq</w:t>
      </w:r>
    </w:p>
    <w:p>
      <w:pPr>
        <w:pStyle w:val="ListParagraph"/>
        <w:numPr>
          <w:ilvl w:val="0"/>
          <w:numId w:val="0"/>
        </w:numPr>
        <w:spacing w:after="100" w:line="360"/>
      </w:pPr>
      <w:r>
        <w:rPr>
          <w:rFonts w:ascii="Arial" w:cs="Arial" w:eastAsia="Arial" w:hAnsi="Arial"/>
          <w:sz w:val="24"/>
          <w:szCs w:val="24"/>
        </w:rPr>
        <w:t xml:space="preserve">GENCODE</w:t>
      </w:r>
    </w:p>
    <w:p>
      <w:pPr>
        <w:pStyle w:val="ListParagraph"/>
        <w:numPr>
          <w:ilvl w:val="0"/>
          <w:numId w:val="0"/>
        </w:numPr>
        <w:spacing w:after="100" w:line="360"/>
      </w:pPr>
      <w:r>
        <w:rPr>
          <w:rFonts w:ascii="Arial" w:cs="Arial" w:eastAsia="Arial" w:hAnsi="Arial"/>
          <w:sz w:val="24"/>
          <w:szCs w:val="24"/>
        </w:rPr>
        <w:t xml:space="preserve">UTRdb</w:t>
      </w:r>
    </w:p>
    <w:p>
      <w:pPr>
        <w:pStyle w:val="ListParagraph"/>
        <w:numPr>
          <w:ilvl w:val="0"/>
          <w:numId w:val="0"/>
        </w:numPr>
        <w:spacing w:after="100" w:line="360"/>
      </w:pPr>
      <w:r>
        <w:rPr>
          <w:rFonts w:ascii="Arial" w:cs="Arial" w:eastAsia="Arial" w:hAnsi="Arial"/>
          <w:sz w:val="24"/>
          <w:szCs w:val="24"/>
        </w:rPr>
        <w:t xml:space="preserve">PolyA_DB</w:t>
      </w:r>
    </w:p>
    <w:p>
      <w:pPr>
        <w:pStyle w:val="ListParagraph"/>
        <w:numPr>
          <w:ilvl w:val="0"/>
          <w:numId w:val="0"/>
        </w:numPr>
        <w:spacing w:after="100" w:line="360"/>
      </w:pPr>
      <w:r>
        <w:rPr>
          <w:rFonts w:ascii="Arial" w:cs="Arial" w:eastAsia="Arial" w:hAnsi="Arial"/>
          <w:sz w:val="24"/>
          <w:szCs w:val="24"/>
        </w:rPr>
        <w:t xml:space="preserve">Published mRNA Half-Life Datasets (Tani et al., Schwanhausser et al.)</w:t>
      </w:r>
    </w:p>
    <w:p>
      <w:pPr>
        <w:pStyle w:val="ListParagraph"/>
        <w:numPr>
          <w:ilvl w:val="0"/>
          <w:numId w:val="0"/>
        </w:numPr>
        <w:spacing w:after="100" w:line="360"/>
      </w:pPr>
      <w:r>
        <w:rPr>
          <w:rFonts w:ascii="Arial" w:cs="Arial" w:eastAsia="Arial" w:hAnsi="Arial"/>
          <w:sz w:val="24"/>
          <w:szCs w:val="24"/>
        </w:rPr>
        <w:t xml:space="preserve">AREsite2</w:t>
      </w:r>
    </w:p>
    <w:p>
      <w:pPr>
        <w:pStyle w:val="ListParagraph"/>
        <w:numPr>
          <w:ilvl w:val="0"/>
          <w:numId w:val="0"/>
        </w:numPr>
        <w:spacing w:after="100" w:line="360"/>
      </w:pPr>
      <w:r>
        <w:rPr>
          <w:rFonts w:ascii="Arial" w:cs="Arial" w:eastAsia="Arial" w:hAnsi="Arial"/>
          <w:sz w:val="24"/>
          <w:szCs w:val="24"/>
        </w:rPr>
        <w:t xml:space="preserve">mRNA Stability Prediction Algorithms</w:t>
      </w:r>
    </w:p>
    <w:p>
      <w:pPr>
        <w:pStyle w:val="ListParagraph"/>
        <w:numPr>
          <w:ilvl w:val="0"/>
          <w:numId w:val="0"/>
        </w:numPr>
        <w:spacing w:after="100" w:line="360"/>
      </w:pPr>
      <w:r>
        <w:rPr>
          <w:rFonts w:ascii="Arial" w:cs="Arial" w:eastAsia="Arial" w:hAnsi="Arial"/>
          <w:sz w:val="24"/>
          <w:szCs w:val="24"/>
        </w:rPr>
        <w:t xml:space="preserve">Quiver Transcriptomic Data</w:t>
      </w:r>
    </w:p>
    <w:p>
      <w:pPr>
        <w:pStyle w:val="ListParagraph"/>
        <w:numPr>
          <w:ilvl w:val="0"/>
          <w:numId w:val="0"/>
        </w:numPr>
        <w:spacing w:after="100" w:line="360"/>
      </w:pPr>
      <w:r>
        <w:rPr>
          <w:rFonts w:ascii="Arial" w:cs="Arial" w:eastAsia="Arial" w:hAnsi="Arial"/>
          <w:sz w:val="24"/>
          <w:szCs w:val="24"/>
        </w:rPr>
        <w:t xml:space="preserve">RNAfold (ViennaRNA)</w:t>
      </w:r>
    </w:p>
    <w:p>
      <w:pPr>
        <w:pStyle w:val="ListParagraph"/>
        <w:numPr>
          <w:ilvl w:val="0"/>
          <w:numId w:val="0"/>
        </w:numPr>
        <w:spacing w:after="100" w:line="360"/>
      </w:pPr>
      <w:r>
        <w:rPr>
          <w:rFonts w:ascii="Arial" w:cs="Arial" w:eastAsia="Arial" w:hAnsi="Arial"/>
          <w:sz w:val="24"/>
          <w:szCs w:val="24"/>
        </w:rPr>
        <w:t xml:space="preserve">RNase H Cleavage Site Prediction Tools</w:t>
      </w:r>
    </w:p>
    <w:p>
      <w:pPr>
        <w:pStyle w:val="ListParagraph"/>
        <w:numPr>
          <w:ilvl w:val="0"/>
          <w:numId w:val="0"/>
        </w:numPr>
        <w:spacing w:after="100" w:line="360"/>
      </w:pPr>
      <w:r>
        <w:rPr>
          <w:rFonts w:ascii="Arial" w:cs="Arial" w:eastAsia="Arial" w:hAnsi="Arial"/>
          <w:sz w:val="24"/>
          <w:szCs w:val="24"/>
        </w:rPr>
        <w:t xml:space="preserve">Mfold/UNAfold</w:t>
      </w:r>
    </w:p>
    <w:p>
      <w:pPr>
        <w:pStyle w:val="ListParagraph"/>
        <w:numPr>
          <w:ilvl w:val="0"/>
          <w:numId w:val="0"/>
        </w:numPr>
        <w:spacing w:after="100" w:line="360"/>
      </w:pPr>
      <w:r>
        <w:rPr>
          <w:rFonts w:ascii="Arial" w:cs="Arial" w:eastAsia="Arial" w:hAnsi="Arial"/>
          <w:sz w:val="24"/>
          <w:szCs w:val="24"/>
        </w:rPr>
        <w:t xml:space="preserve">Quiver ASO Design Module</w:t>
      </w:r>
    </w:p>
    <w:p>
      <w:pPr>
        <w:pStyle w:val="ListParagraph"/>
        <w:numPr>
          <w:ilvl w:val="0"/>
          <w:numId w:val="0"/>
        </w:numPr>
        <w:spacing w:after="100" w:line="360"/>
      </w:pPr>
      <w:r>
        <w:rPr>
          <w:rFonts w:ascii="Arial" w:cs="Arial" w:eastAsia="Arial" w:hAnsi="Arial"/>
          <w:sz w:val="24"/>
          <w:szCs w:val="24"/>
        </w:rPr>
        <w:t xml:space="preserve">ESEfinder/SpliceAid</w:t>
      </w:r>
    </w:p>
    <w:p>
      <w:pPr>
        <w:pStyle w:val="ListParagraph"/>
        <w:numPr>
          <w:ilvl w:val="0"/>
          <w:numId w:val="0"/>
        </w:numPr>
        <w:spacing w:after="100" w:line="360"/>
      </w:pPr>
      <w:r>
        <w:rPr>
          <w:rFonts w:ascii="Arial" w:cs="Arial" w:eastAsia="Arial" w:hAnsi="Arial"/>
          <w:sz w:val="24"/>
          <w:szCs w:val="24"/>
        </w:rPr>
        <w:t xml:space="preserve">MaxEntScan</w:t>
      </w:r>
    </w:p>
    <w:p>
      <w:pPr>
        <w:pStyle w:val="ListParagraph"/>
        <w:numPr>
          <w:ilvl w:val="0"/>
          <w:numId w:val="0"/>
        </w:numPr>
        <w:spacing w:after="100" w:line="360"/>
      </w:pPr>
      <w:r>
        <w:rPr>
          <w:rFonts w:ascii="Arial" w:cs="Arial" w:eastAsia="Arial" w:hAnsi="Arial"/>
          <w:sz w:val="24"/>
          <w:szCs w:val="24"/>
        </w:rPr>
        <w:t xml:space="preserve">RESCUE-ESE</w:t>
      </w:r>
    </w:p>
    <w:p>
      <w:pPr>
        <w:pStyle w:val="ListParagraph"/>
        <w:numPr>
          <w:ilvl w:val="0"/>
          <w:numId w:val="0"/>
        </w:numPr>
        <w:spacing w:after="100" w:line="360"/>
      </w:pPr>
      <w:r>
        <w:rPr>
          <w:rFonts w:ascii="Arial" w:cs="Arial" w:eastAsia="Arial" w:hAnsi="Arial"/>
          <w:sz w:val="24"/>
          <w:szCs w:val="24"/>
        </w:rPr>
        <w:t xml:space="preserve">PubMed</w:t>
      </w:r>
    </w:p>
    <w:p>
      <w:pPr>
        <w:pStyle w:val="ListParagraph"/>
        <w:numPr>
          <w:ilvl w:val="0"/>
          <w:numId w:val="0"/>
        </w:numPr>
        <w:spacing w:after="100" w:line="360"/>
      </w:pPr>
      <w:r>
        <w:rPr>
          <w:rFonts w:ascii="Arial" w:cs="Arial" w:eastAsia="Arial" w:hAnsi="Arial"/>
          <w:sz w:val="24"/>
          <w:szCs w:val="24"/>
        </w:rPr>
        <w:t xml:space="preserve">FDA/DailyMed</w:t>
      </w:r>
    </w:p>
    <w:p>
      <w:pPr>
        <w:pStyle w:val="ListParagraph"/>
        <w:numPr>
          <w:ilvl w:val="0"/>
          <w:numId w:val="0"/>
        </w:numPr>
        <w:spacing w:after="100" w:line="360"/>
      </w:pPr>
      <w:r>
        <w:rPr>
          <w:rFonts w:ascii="Arial" w:cs="Arial" w:eastAsia="Arial" w:hAnsi="Arial"/>
          <w:sz w:val="24"/>
          <w:szCs w:val="24"/>
        </w:rPr>
        <w:t xml:space="preserve">Sapphire Success Feature Database</w:t>
      </w:r>
    </w:p>
    <w:p>
      <w:pPr>
        <w:pStyle w:val="ListParagraph"/>
        <w:numPr>
          <w:ilvl w:val="0"/>
          <w:numId w:val="0"/>
        </w:numPr>
        <w:spacing w:after="100" w:line="360"/>
      </w:pPr>
      <w:r>
        <w:rPr>
          <w:rFonts w:ascii="Arial" w:cs="Arial" w:eastAsia="Arial" w:hAnsi="Arial"/>
          <w:sz w:val="24"/>
          <w:szCs w:val="24"/>
        </w:rPr>
        <w:t xml:space="preserve">Sapphire Druggability Scoring Engine</w:t>
      </w:r>
    </w:p>
    <w:p>
      <w:pPr>
        <w:pStyle w:val="ListParagraph"/>
        <w:numPr>
          <w:ilvl w:val="0"/>
          <w:numId w:val="0"/>
        </w:numPr>
        <w:spacing w:after="100" w:line="360"/>
      </w:pPr>
      <w:r>
        <w:rPr>
          <w:rFonts w:ascii="Arial" w:cs="Arial" w:eastAsia="Arial" w:hAnsi="Arial"/>
          <w:sz w:val="24"/>
          <w:szCs w:val="24"/>
        </w:rPr>
        <w:t xml:space="preserve">Quiver Confidence Scoring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sz w:val="32"/>
      <w:szCs w:val="32"/>
    </w:rPr>
  </w:style>
  <w:style w:type="paragraph" w:styleId="Heading2">
    <w:name w:val="Heading 2"/>
    <w:basedOn w:val="Normal"/>
    <w:next w:val="Normal"/>
    <w:qFormat/>
    <w:pPr>
      <w:spacing w:before="200" w:after="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2026-02-18T21:12:13.688Z</dcterms:created>
  <dcterms:modified xsi:type="dcterms:W3CDTF">2026-02-18T21:12:13.688Z</dcterms:modified>
</cp:coreProperties>
</file>

<file path=docProps/custom.xml><?xml version="1.0" encoding="utf-8"?>
<Properties xmlns="http://schemas.openxmlformats.org/officeDocument/2006/custom-properties" xmlns:vt="http://schemas.openxmlformats.org/officeDocument/2006/docPropsVTypes"/>
</file>