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240"/>
      </w:pPr>
      <w:r>
        <w:t xml:space="preserve">Sapphire Pipeline Workflow</w:t>
      </w:r>
    </w:p>
    <w:p>
      <w:pPr>
        <w:pStyle w:val="Heading2"/>
        <w:spacing w:before="200" w:after="200"/>
      </w:pPr>
      <w:r>
        <w:t xml:space="preserve">Prompt: "Evaluate the risk of pro-inflammatory cytokine release (IL-6, TNF-alpha) for this specific chemical modification pattern."</w:t>
      </w:r>
    </w:p>
    <w:p>
      <w:pPr>
        <w:spacing w:after="300" w:line="360"/>
      </w:pPr>
      <w:r>
        <w:rPr>
          <w:rFonts w:ascii="Arial" w:cs="Arial" w:eastAsia="Arial" w:hAnsi="Arial"/>
          <w:sz w:val="24"/>
          <w:szCs w:val="24"/>
        </w:rPr>
        <w:t xml:space="preserve">This document defines the complete Sapphire pipeline — the sequential stages, tools called, external datasets used, inputs, outputs, and decision logic — required to deliver a valid, actionable answer to this prompt.</w:t>
      </w:r>
    </w:p>
    <w:p>
      <w:pPr>
        <w:pStyle w:val="Heading2"/>
        <w:spacing w:before="200" w:after="200"/>
      </w:pPr>
      <w:r>
        <w:t xml:space="preserve">Pipeline Overview</w:t>
      </w:r>
    </w:p>
    <w:p>
      <w:pPr>
        <w:spacing w:after="300" w:line="360"/>
      </w:pPr>
      <w:r>
        <w:rPr>
          <w:rFonts w:ascii="Arial" w:cs="Arial" w:eastAsia="Arial" w:hAnsi="Arial"/>
          <w:sz w:val="24"/>
          <w:szCs w:val="24"/>
        </w:rPr>
        <w:t xml:space="preserve">This pipeline evaluates the risk of pro-inflammatory cytokine release (IL-6, TNF-alpha, and related cytokines) triggered by antisense oligonucleotide (ASO) chemical modifications. The workflow integrates chemical pattern parsing, motif scanning, immune receptor interaction prediction, empirical safety database queries, quantitative risk modeling, and mitigation strategy recommendations into a comprehensive risk assessment framework.</w:t>
      </w:r>
    </w:p>
    <w:p>
      <w:pPr>
        <w:spacing w:after="300" w:line="360"/>
      </w:pPr>
      <w:r>
        <w:rPr>
          <w:rFonts w:ascii="Arial" w:cs="Arial" w:eastAsia="Arial" w:hAnsi="Arial"/>
          <w:sz w:val="24"/>
          <w:szCs w:val="24"/>
        </w:rPr>
        <w:t xml:space="preserve">Each stage builds upon the previous one, accumulating evidence from multiple sources to generate a confidence-scored risk estimate. The output enables medicinal chemists and clinical teams to make informed decisions about modification strategies, dosing, and premedication approaches.</w:t>
      </w:r>
    </w:p>
    <w:p>
      <w:pPr>
        <w:pStyle w:val="Heading2"/>
        <w:spacing w:before="200" w:after="200"/>
      </w:pPr>
      <w:r>
        <w:t xml:space="preserve">Stage 1: Chemical Modification Pattern Parsing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Parse the input ASO sequence and chemical modification pattern to extract backbone chemistry, sugar modifications, wing/gap architecture, and other molecular features relevant to innate immune activation.</w:t>
      </w:r>
    </w:p>
    <w:p>
      <w:pPr>
        <w:spacing w:after="100" w:line="360"/>
      </w:pPr>
      <w:r>
        <w:rPr>
          <w:rFonts w:ascii="Arial" w:cs="Arial" w:eastAsia="Arial" w:hAnsi="Arial"/>
          <w:b/>
          <w:bCs/>
          <w:sz w:val="24"/>
          <w:szCs w:val="24"/>
        </w:rPr>
        <w:t xml:space="preserve">Inputs:</w:t>
      </w:r>
    </w:p>
    <w:p>
      <w:pPr>
        <w:pStyle w:val="ListParagraph"/>
        <w:numPr>
          <w:ilvl w:val="0"/>
          <w:numId w:val="1"/>
        </w:numPr>
      </w:pPr>
      <w:r>
        <w:t xml:space="preserve">Raw ASO sequence (DNA/RNA notation)</w:t>
      </w:r>
    </w:p>
    <w:p>
      <w:pPr>
        <w:pStyle w:val="ListParagraph"/>
        <w:numPr>
          <w:ilvl w:val="0"/>
          <w:numId w:val="1"/>
        </w:numPr>
      </w:pPr>
      <w:r>
        <w:t xml:space="preserve">Chemical modification string or SMILES notation</w:t>
      </w:r>
    </w:p>
    <w:p>
      <w:pPr>
        <w:pStyle w:val="ListParagraph"/>
        <w:numPr>
          <w:ilvl w:val="0"/>
          <w:numId w:val="1"/>
        </w:numPr>
      </w:pPr>
      <w:r>
        <w:t xml:space="preserve">Wing/gap structure definition (e.g., 2-8-2, 5-10-5)</w:t>
      </w:r>
    </w:p>
    <w:p>
      <w:pPr>
        <w:spacing w:after="100" w:line="360"/>
      </w:pPr>
      <w:r>
        <w:rPr>
          <w:rFonts w:ascii="Arial" w:cs="Arial" w:eastAsia="Arial" w:hAnsi="Arial"/>
          <w:b/>
          <w:bCs/>
          <w:sz w:val="24"/>
          <w:szCs w:val="24"/>
        </w:rPr>
        <w:t xml:space="preserve">Tools &amp; Databases Called:</w:t>
      </w:r>
    </w:p>
    <w:p>
      <w:pPr>
        <w:pStyle w:val="ListParagraph"/>
        <w:numPr>
          <w:ilvl w:val="0"/>
          <w:numId w:val="1"/>
        </w:numPr>
      </w:pPr>
      <w:r>
        <w:rPr>
          <w:rFonts w:ascii="Arial" w:cs="Arial" w:eastAsia="Arial" w:hAnsi="Arial"/>
          <w:b/>
          <w:bCs/>
          <w:sz w:val="24"/>
          <w:szCs w:val="24"/>
        </w:rPr>
        <w:t xml:space="preserve">Sapphire ASO Chemistry Parser</w:t>
      </w:r>
      <w:r>
        <w:rPr>
          <w:rFonts w:ascii="Arial" w:cs="Arial" w:eastAsia="Arial" w:hAnsi="Arial"/>
          <w:sz w:val="24"/>
          <w:szCs w:val="24"/>
        </w:rPr>
        <w:t xml:space="preserve"> — Internal parser for ASO nomenclature and chemistry extraction</w:t>
      </w:r>
    </w:p>
    <w:p>
      <w:pPr>
        <w:pStyle w:val="ListParagraph"/>
        <w:numPr>
          <w:ilvl w:val="0"/>
          <w:numId w:val="1"/>
        </w:numPr>
      </w:pPr>
      <w:r>
        <w:rPr>
          <w:rFonts w:ascii="Arial" w:cs="Arial" w:eastAsia="Arial" w:hAnsi="Arial"/>
          <w:b/>
          <w:bCs/>
          <w:sz w:val="24"/>
          <w:szCs w:val="24"/>
        </w:rPr>
        <w:t xml:space="preserve">ASO Modification Nomenclature Standards</w:t>
      </w:r>
      <w:r>
        <w:rPr>
          <w:rFonts w:ascii="Arial" w:cs="Arial" w:eastAsia="Arial" w:hAnsi="Arial"/>
          <w:sz w:val="24"/>
          <w:szCs w:val="24"/>
        </w:rPr>
        <w:t xml:space="preserve"> — IUPAC and Ionis nomenclature conventions</w:t>
      </w:r>
    </w:p>
    <w:p>
      <w:pPr>
        <w:pStyle w:val="ListParagraph"/>
        <w:numPr>
          <w:ilvl w:val="0"/>
          <w:numId w:val="1"/>
        </w:numPr>
        <w:spacing w:after="100"/>
      </w:pPr>
      <w:r>
        <w:rPr>
          <w:rFonts w:ascii="Arial" w:cs="Arial" w:eastAsia="Arial" w:hAnsi="Arial"/>
          <w:b/>
          <w:bCs/>
          <w:sz w:val="24"/>
          <w:szCs w:val="24"/>
        </w:rPr>
        <w:t xml:space="preserve">ChEMBL</w:t>
      </w:r>
      <w:r>
        <w:rPr>
          <w:rFonts w:ascii="Arial" w:cs="Arial" w:eastAsia="Arial" w:hAnsi="Arial"/>
          <w:sz w:val="24"/>
          <w:szCs w:val="24"/>
        </w:rPr>
        <w:t xml:space="preserve"> — Chemical database for validation and structure lookup</w:t>
      </w:r>
    </w:p>
    <w:p>
      <w:pPr>
        <w:spacing w:after="100" w:line="360"/>
      </w:pPr>
      <w:r>
        <w:rPr>
          <w:rFonts w:ascii="Arial" w:cs="Arial" w:eastAsia="Arial" w:hAnsi="Arial"/>
          <w:b/>
          <w:bCs/>
          <w:sz w:val="24"/>
          <w:szCs w:val="24"/>
        </w:rPr>
        <w:t xml:space="preserve">Exemplary Sub-Prompts:</w:t>
      </w:r>
    </w:p>
    <w:p>
      <w:pPr>
        <w:pStyle w:val="ListParagraph"/>
        <w:numPr>
          <w:ilvl w:val="0"/>
          <w:numId w:val="1"/>
        </w:numPr>
      </w:pPr>
      <w:r>
        <w:t xml:space="preserve">"What is the backbone chemistry of this ASO? Is it PS, PO, or mixed?"</w:t>
      </w:r>
    </w:p>
    <w:p>
      <w:pPr>
        <w:pStyle w:val="ListParagraph"/>
        <w:numPr>
          <w:ilvl w:val="0"/>
          <w:numId w:val="1"/>
        </w:numPr>
      </w:pPr>
      <w:r>
        <w:t xml:space="preserve">"Identify all sugar modifications: 2'-O-methyl, 2'-O-methoxyethyl, locked nucleic acids (LNA)?"</w:t>
      </w:r>
    </w:p>
    <w:p>
      <w:pPr>
        <w:pStyle w:val="ListParagraph"/>
        <w:numPr>
          <w:ilvl w:val="0"/>
          <w:numId w:val="1"/>
        </w:numPr>
      </w:pPr>
      <w:r>
        <w:t xml:space="preserve">"Extract the wing and gap architecture and report nucleotide positions."</w:t>
      </w:r>
    </w:p>
    <w:p>
      <w:pPr>
        <w:spacing w:after="100" w:line="360"/>
      </w:pPr>
      <w:r>
        <w:rPr>
          <w:rFonts w:ascii="Arial" w:cs="Arial" w:eastAsia="Arial" w:hAnsi="Arial"/>
          <w:b/>
          <w:bCs/>
          <w:sz w:val="24"/>
          <w:szCs w:val="24"/>
        </w:rPr>
        <w:t xml:space="preserve">Expected Outputs:</w:t>
      </w:r>
    </w:p>
    <w:p>
      <w:pPr>
        <w:pStyle w:val="ListParagraph"/>
        <w:numPr>
          <w:ilvl w:val="0"/>
          <w:numId w:val="1"/>
        </w:numPr>
      </w:pPr>
      <w:r>
        <w:t xml:space="preserve">Parsed backbone chemistry (e.g., PS, mixed PS/PO)</w:t>
      </w:r>
    </w:p>
    <w:p>
      <w:pPr>
        <w:pStyle w:val="ListParagraph"/>
        <w:numPr>
          <w:ilvl w:val="0"/>
          <w:numId w:val="1"/>
        </w:numPr>
      </w:pPr>
      <w:r>
        <w:t xml:space="preserve">Sugar modifications per position (2'-OMe, 2'-MOE, LNA, unmodified)</w:t>
      </w:r>
    </w:p>
    <w:p>
      <w:pPr>
        <w:pStyle w:val="ListParagraph"/>
        <w:numPr>
          <w:ilvl w:val="0"/>
          <w:numId w:val="1"/>
        </w:numPr>
      </w:pPr>
      <w:r>
        <w:t xml:space="preserve">Wing and gap architecture with position ranges</w:t>
      </w:r>
    </w:p>
    <w:p>
      <w:pPr>
        <w:pStyle w:val="ListParagraph"/>
        <w:numPr>
          <w:ilvl w:val="0"/>
          <w:numId w:val="1"/>
        </w:numPr>
      </w:pPr>
      <w:r>
        <w:t xml:space="preserve">Total oligonucleotide length and molecular weight estimate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JSON with backbone, sugar_modifications (array), wing_gap_structure (with start/end positions), total_length, molecular_weight.</w:t>
      </w:r>
    </w:p>
    <w:p>
      <w:pPr>
        <w:pStyle w:val="Heading2"/>
        <w:spacing w:before="200" w:after="200"/>
      </w:pPr>
      <w:r>
        <w:t xml:space="preserve">Stage 2: Immunostimulatory Motif Scanning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Scan the ASO sequence for known immunostimulatory motifs (CpG dinucleotides, GU-rich sequences, dsRNA-like structures) that trigger pattern recognition receptors and innate immune activation.</w:t>
      </w:r>
    </w:p>
    <w:p>
      <w:pPr>
        <w:spacing w:after="100" w:line="360"/>
      </w:pPr>
      <w:r>
        <w:rPr>
          <w:rFonts w:ascii="Arial" w:cs="Arial" w:eastAsia="Arial" w:hAnsi="Arial"/>
          <w:b/>
          <w:bCs/>
          <w:sz w:val="24"/>
          <w:szCs w:val="24"/>
        </w:rPr>
        <w:t xml:space="preserve">Inputs:</w:t>
      </w:r>
    </w:p>
    <w:p>
      <w:pPr>
        <w:pStyle w:val="ListParagraph"/>
        <w:numPr>
          <w:ilvl w:val="0"/>
          <w:numId w:val="1"/>
        </w:numPr>
      </w:pPr>
      <w:r>
        <w:t xml:space="preserve">Parsed ASO sequence from Stage 1</w:t>
      </w:r>
    </w:p>
    <w:p>
      <w:pPr>
        <w:pStyle w:val="ListParagraph"/>
        <w:numPr>
          <w:ilvl w:val="0"/>
          <w:numId w:val="1"/>
        </w:numPr>
      </w:pPr>
      <w:r>
        <w:t xml:space="preserve">Chemical modification profile (especially sugar modifications and backbone)</w:t>
      </w:r>
    </w:p>
    <w:p>
      <w:pPr>
        <w:pStyle w:val="ListParagraph"/>
        <w:numPr>
          <w:ilvl w:val="0"/>
          <w:numId w:val="1"/>
        </w:numPr>
      </w:pPr>
      <w:r>
        <w:t xml:space="preserve">Reference motif databases (CpG, GU-rich, TLR ligand libraries)</w:t>
      </w:r>
    </w:p>
    <w:p>
      <w:pPr>
        <w:spacing w:after="100" w:line="360"/>
      </w:pPr>
      <w:r>
        <w:rPr>
          <w:rFonts w:ascii="Arial" w:cs="Arial" w:eastAsia="Arial" w:hAnsi="Arial"/>
          <w:b/>
          <w:bCs/>
          <w:sz w:val="24"/>
          <w:szCs w:val="24"/>
        </w:rPr>
        <w:t xml:space="preserve">Tools &amp; Databases Called:</w:t>
      </w:r>
    </w:p>
    <w:p>
      <w:pPr>
        <w:pStyle w:val="ListParagraph"/>
        <w:numPr>
          <w:ilvl w:val="0"/>
          <w:numId w:val="1"/>
        </w:numPr>
      </w:pPr>
      <w:r>
        <w:rPr>
          <w:rFonts w:ascii="Arial" w:cs="Arial" w:eastAsia="Arial" w:hAnsi="Arial"/>
          <w:b/>
          <w:bCs/>
          <w:sz w:val="24"/>
          <w:szCs w:val="24"/>
        </w:rPr>
        <w:t xml:space="preserve">CpG Motif Scanner</w:t>
      </w:r>
      <w:r>
        <w:rPr>
          <w:rFonts w:ascii="Arial" w:cs="Arial" w:eastAsia="Arial" w:hAnsi="Arial"/>
          <w:sz w:val="24"/>
          <w:szCs w:val="24"/>
        </w:rPr>
        <w:t xml:space="preserve"> — Identifies CpG dinucleotides and their position context</w:t>
      </w:r>
    </w:p>
    <w:p>
      <w:pPr>
        <w:pStyle w:val="ListParagraph"/>
        <w:numPr>
          <w:ilvl w:val="0"/>
          <w:numId w:val="1"/>
        </w:numPr>
      </w:pPr>
      <w:r>
        <w:rPr>
          <w:rFonts w:ascii="Arial" w:cs="Arial" w:eastAsia="Arial" w:hAnsi="Arial"/>
          <w:b/>
          <w:bCs/>
          <w:sz w:val="24"/>
          <w:szCs w:val="24"/>
        </w:rPr>
        <w:t xml:space="preserve">GU-Rich Motif Identification</w:t>
      </w:r>
      <w:r>
        <w:rPr>
          <w:rFonts w:ascii="Arial" w:cs="Arial" w:eastAsia="Arial" w:hAnsi="Arial"/>
          <w:sz w:val="24"/>
          <w:szCs w:val="24"/>
        </w:rPr>
        <w:t xml:space="preserve"> — Scans for consecutive GU repeats and patterns</w:t>
      </w:r>
    </w:p>
    <w:p>
      <w:pPr>
        <w:pStyle w:val="ListParagraph"/>
        <w:numPr>
          <w:ilvl w:val="0"/>
          <w:numId w:val="1"/>
        </w:numPr>
      </w:pPr>
      <w:r>
        <w:rPr>
          <w:rFonts w:ascii="Arial" w:cs="Arial" w:eastAsia="Arial" w:hAnsi="Arial"/>
          <w:b/>
          <w:bCs/>
          <w:sz w:val="24"/>
          <w:szCs w:val="24"/>
        </w:rPr>
        <w:t xml:space="preserve">TLR Ligand Prediction Algorithms</w:t>
      </w:r>
      <w:r>
        <w:rPr>
          <w:rFonts w:ascii="Arial" w:cs="Arial" w:eastAsia="Arial" w:hAnsi="Arial"/>
          <w:sz w:val="24"/>
          <w:szCs w:val="24"/>
        </w:rPr>
        <w:t xml:space="preserve"> — Predicts TLR3, TLR7, TLR8, TLR9 ligand potential</w:t>
      </w:r>
    </w:p>
    <w:p>
      <w:pPr>
        <w:pStyle w:val="ListParagraph"/>
        <w:numPr>
          <w:ilvl w:val="0"/>
          <w:numId w:val="1"/>
        </w:numPr>
        <w:spacing w:after="100"/>
      </w:pPr>
      <w:r>
        <w:rPr>
          <w:rFonts w:ascii="Arial" w:cs="Arial" w:eastAsia="Arial" w:hAnsi="Arial"/>
          <w:b/>
          <w:bCs/>
          <w:sz w:val="24"/>
          <w:szCs w:val="24"/>
        </w:rPr>
        <w:t xml:space="preserve">Published Immunostimulatory Motif Databases</w:t>
      </w:r>
      <w:r>
        <w:rPr>
          <w:rFonts w:ascii="Arial" w:cs="Arial" w:eastAsia="Arial" w:hAnsi="Arial"/>
          <w:sz w:val="24"/>
          <w:szCs w:val="24"/>
        </w:rPr>
        <w:t xml:space="preserve"> — Curated collections of known immune-activating sequences</w:t>
      </w:r>
    </w:p>
    <w:p>
      <w:pPr>
        <w:spacing w:after="100" w:line="360"/>
      </w:pPr>
      <w:r>
        <w:rPr>
          <w:rFonts w:ascii="Arial" w:cs="Arial" w:eastAsia="Arial" w:hAnsi="Arial"/>
          <w:b/>
          <w:bCs/>
          <w:sz w:val="24"/>
          <w:szCs w:val="24"/>
        </w:rPr>
        <w:t xml:space="preserve">Exemplary Sub-Prompts:</w:t>
      </w:r>
    </w:p>
    <w:p>
      <w:pPr>
        <w:pStyle w:val="ListParagraph"/>
        <w:numPr>
          <w:ilvl w:val="0"/>
          <w:numId w:val="1"/>
        </w:numPr>
      </w:pPr>
      <w:r>
        <w:t xml:space="preserve">"How many CpG dinucleotides are present in the ASO? What are their positions?"</w:t>
      </w:r>
    </w:p>
    <w:p>
      <w:pPr>
        <w:pStyle w:val="ListParagraph"/>
        <w:numPr>
          <w:ilvl w:val="0"/>
          <w:numId w:val="1"/>
        </w:numPr>
      </w:pPr>
      <w:r>
        <w:t xml:space="preserve">"Does the ASO contain GU-rich regions? If so, characterize their length and frequency."</w:t>
      </w:r>
    </w:p>
    <w:p>
      <w:pPr>
        <w:pStyle w:val="ListParagraph"/>
        <w:numPr>
          <w:ilvl w:val="0"/>
          <w:numId w:val="1"/>
        </w:numPr>
      </w:pPr>
      <w:r>
        <w:t xml:space="preserve">"Are there potential dsRNA-like structures based on secondary structure prediction?"</w:t>
      </w:r>
    </w:p>
    <w:p>
      <w:pPr>
        <w:spacing w:after="100" w:line="360"/>
      </w:pPr>
      <w:r>
        <w:rPr>
          <w:rFonts w:ascii="Arial" w:cs="Arial" w:eastAsia="Arial" w:hAnsi="Arial"/>
          <w:b/>
          <w:bCs/>
          <w:sz w:val="24"/>
          <w:szCs w:val="24"/>
        </w:rPr>
        <w:t xml:space="preserve">Expected Outputs:</w:t>
      </w:r>
    </w:p>
    <w:p>
      <w:pPr>
        <w:pStyle w:val="ListParagraph"/>
        <w:numPr>
          <w:ilvl w:val="0"/>
          <w:numId w:val="1"/>
        </w:numPr>
      </w:pPr>
      <w:r>
        <w:t xml:space="preserve">Count and positions of CpG dinucleotides</w:t>
      </w:r>
    </w:p>
    <w:p>
      <w:pPr>
        <w:pStyle w:val="ListParagraph"/>
        <w:numPr>
          <w:ilvl w:val="0"/>
          <w:numId w:val="1"/>
        </w:numPr>
      </w:pPr>
      <w:r>
        <w:t xml:space="preserve">Count and positions of GU-rich motifs (length ≥3)</w:t>
      </w:r>
    </w:p>
    <w:p>
      <w:pPr>
        <w:pStyle w:val="ListParagraph"/>
        <w:numPr>
          <w:ilvl w:val="0"/>
          <w:numId w:val="1"/>
        </w:numPr>
      </w:pPr>
      <w:r>
        <w:t xml:space="preserve">Predicted dsRNA-like structures and confidence</w:t>
      </w:r>
    </w:p>
    <w:p>
      <w:pPr>
        <w:pStyle w:val="ListParagraph"/>
        <w:numPr>
          <w:ilvl w:val="0"/>
          <w:numId w:val="1"/>
        </w:numPr>
      </w:pPr>
      <w:r>
        <w:t xml:space="preserve">Overall motif burden score (semiquantitative)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JSON with CpG_count, CpG_positions, GU_rich_motifs (array with positions and lengths), dsRNA_score, motif_burden_score.</w:t>
      </w:r>
    </w:p>
    <w:p>
      <w:pPr>
        <w:pStyle w:val="Heading2"/>
        <w:spacing w:before="200" w:after="200"/>
      </w:pPr>
      <w:r>
        <w:t xml:space="preserve">Stage 3: Innate Immune Receptor Interaction Prediction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Predict which innate immune receptors (TLR3, TLR7, TLR8, TLR9, RIG-I, MDA5, STING) the ASO may activate based on chemistry, sequence, and published structure-activity relationships.</w:t>
      </w:r>
    </w:p>
    <w:p>
      <w:pPr>
        <w:spacing w:after="100" w:line="360"/>
      </w:pPr>
      <w:r>
        <w:rPr>
          <w:rFonts w:ascii="Arial" w:cs="Arial" w:eastAsia="Arial" w:hAnsi="Arial"/>
          <w:b/>
          <w:bCs/>
          <w:sz w:val="24"/>
          <w:szCs w:val="24"/>
        </w:rPr>
        <w:t xml:space="preserve">Inputs:</w:t>
      </w:r>
    </w:p>
    <w:p>
      <w:pPr>
        <w:pStyle w:val="ListParagraph"/>
        <w:numPr>
          <w:ilvl w:val="0"/>
          <w:numId w:val="1"/>
        </w:numPr>
      </w:pPr>
      <w:r>
        <w:t xml:space="preserve">Chemical modification profile from Stage 1</w:t>
      </w:r>
    </w:p>
    <w:p>
      <w:pPr>
        <w:pStyle w:val="ListParagraph"/>
        <w:numPr>
          <w:ilvl w:val="0"/>
          <w:numId w:val="1"/>
        </w:numPr>
      </w:pPr>
      <w:r>
        <w:t xml:space="preserve">Motif analysis results from Stage 2</w:t>
      </w:r>
    </w:p>
    <w:p>
      <w:pPr>
        <w:pStyle w:val="ListParagraph"/>
        <w:numPr>
          <w:ilvl w:val="0"/>
          <w:numId w:val="1"/>
        </w:numPr>
      </w:pPr>
      <w:r>
        <w:t xml:space="preserve">Published structure-activity relationship (SAR) models</w:t>
      </w:r>
    </w:p>
    <w:p>
      <w:pPr>
        <w:spacing w:after="100" w:line="360"/>
      </w:pPr>
      <w:r>
        <w:rPr>
          <w:rFonts w:ascii="Arial" w:cs="Arial" w:eastAsia="Arial" w:hAnsi="Arial"/>
          <w:b/>
          <w:bCs/>
          <w:sz w:val="24"/>
          <w:szCs w:val="24"/>
        </w:rPr>
        <w:t xml:space="preserve">Tools &amp; Databases Called:</w:t>
      </w:r>
    </w:p>
    <w:p>
      <w:pPr>
        <w:pStyle w:val="ListParagraph"/>
        <w:numPr>
          <w:ilvl w:val="0"/>
          <w:numId w:val="1"/>
        </w:numPr>
      </w:pPr>
      <w:r>
        <w:rPr>
          <w:rFonts w:ascii="Arial" w:cs="Arial" w:eastAsia="Arial" w:hAnsi="Arial"/>
          <w:b/>
          <w:bCs/>
          <w:sz w:val="24"/>
          <w:szCs w:val="24"/>
        </w:rPr>
        <w:t xml:space="preserve">TLR Binding Prediction Models</w:t>
      </w:r>
      <w:r>
        <w:rPr>
          <w:rFonts w:ascii="Arial" w:cs="Arial" w:eastAsia="Arial" w:hAnsi="Arial"/>
          <w:sz w:val="24"/>
          <w:szCs w:val="24"/>
        </w:rPr>
        <w:t xml:space="preserve"> — Machine learning models trained on published TLR ligand data</w:t>
      </w:r>
    </w:p>
    <w:p>
      <w:pPr>
        <w:pStyle w:val="ListParagraph"/>
        <w:numPr>
          <w:ilvl w:val="0"/>
          <w:numId w:val="1"/>
        </w:numPr>
      </w:pPr>
      <w:r>
        <w:rPr>
          <w:rFonts w:ascii="Arial" w:cs="Arial" w:eastAsia="Arial" w:hAnsi="Arial"/>
          <w:b/>
          <w:bCs/>
          <w:sz w:val="24"/>
          <w:szCs w:val="24"/>
        </w:rPr>
        <w:t xml:space="preserve">Published Structure-Activity Relationships for Oligonucleotide Immune Activation</w:t>
      </w:r>
      <w:r>
        <w:rPr>
          <w:rFonts w:ascii="Arial" w:cs="Arial" w:eastAsia="Arial" w:hAnsi="Arial"/>
          <w:sz w:val="24"/>
          <w:szCs w:val="24"/>
        </w:rPr>
        <w:t xml:space="preserve"> — SAR literature and databases (Ionis, academic publications)</w:t>
      </w:r>
    </w:p>
    <w:p>
      <w:pPr>
        <w:pStyle w:val="ListParagraph"/>
        <w:numPr>
          <w:ilvl w:val="0"/>
          <w:numId w:val="1"/>
        </w:numPr>
        <w:spacing w:after="100"/>
      </w:pPr>
      <w:r>
        <w:rPr>
          <w:rFonts w:ascii="Arial" w:cs="Arial" w:eastAsia="Arial" w:hAnsi="Arial"/>
          <w:b/>
          <w:bCs/>
          <w:sz w:val="24"/>
          <w:szCs w:val="24"/>
        </w:rPr>
        <w:t xml:space="preserve">Quiver Immune Response Data</w:t>
      </w:r>
      <w:r>
        <w:rPr>
          <w:rFonts w:ascii="Arial" w:cs="Arial" w:eastAsia="Arial" w:hAnsi="Arial"/>
          <w:sz w:val="24"/>
          <w:szCs w:val="24"/>
        </w:rPr>
        <w:t xml:space="preserve"> — Internal proprietary immune profiling (if available)</w:t>
      </w:r>
    </w:p>
    <w:p>
      <w:pPr>
        <w:spacing w:after="100" w:line="360"/>
      </w:pPr>
      <w:r>
        <w:rPr>
          <w:rFonts w:ascii="Arial" w:cs="Arial" w:eastAsia="Arial" w:hAnsi="Arial"/>
          <w:b/>
          <w:bCs/>
          <w:sz w:val="24"/>
          <w:szCs w:val="24"/>
        </w:rPr>
        <w:t xml:space="preserve">Exemplary Sub-Prompts:</w:t>
      </w:r>
    </w:p>
    <w:p>
      <w:pPr>
        <w:pStyle w:val="ListParagraph"/>
        <w:numPr>
          <w:ilvl w:val="0"/>
          <w:numId w:val="1"/>
        </w:numPr>
      </w:pPr>
      <w:r>
        <w:t xml:space="preserve">"Based on the CpG content and backbone chemistry, what is the predicted TLR9 activation potential?"</w:t>
      </w:r>
    </w:p>
    <w:p>
      <w:pPr>
        <w:pStyle w:val="ListParagraph"/>
        <w:numPr>
          <w:ilvl w:val="0"/>
          <w:numId w:val="1"/>
        </w:numPr>
      </w:pPr>
      <w:r>
        <w:t xml:space="preserve">"Is this ASO a predicted ligand for TLR7 or TLR8 based on GU-rich motifs and sugar modifications?"</w:t>
      </w:r>
    </w:p>
    <w:p>
      <w:pPr>
        <w:pStyle w:val="ListParagraph"/>
        <w:numPr>
          <w:ilvl w:val="0"/>
          <w:numId w:val="1"/>
        </w:numPr>
      </w:pPr>
      <w:r>
        <w:t xml:space="preserve">"Could this sequence activate RIG-I or MDA5 based on secondary structure predictions?"</w:t>
      </w:r>
    </w:p>
    <w:p>
      <w:pPr>
        <w:spacing w:after="100" w:line="360"/>
      </w:pPr>
      <w:r>
        <w:rPr>
          <w:rFonts w:ascii="Arial" w:cs="Arial" w:eastAsia="Arial" w:hAnsi="Arial"/>
          <w:b/>
          <w:bCs/>
          <w:sz w:val="24"/>
          <w:szCs w:val="24"/>
        </w:rPr>
        <w:t xml:space="preserve">Expected Outputs:</w:t>
      </w:r>
    </w:p>
    <w:p>
      <w:pPr>
        <w:pStyle w:val="ListParagraph"/>
        <w:numPr>
          <w:ilvl w:val="0"/>
          <w:numId w:val="1"/>
        </w:numPr>
      </w:pPr>
      <w:r>
        <w:t xml:space="preserve">TLR9 activation probability (0-1 scale)</w:t>
      </w:r>
    </w:p>
    <w:p>
      <w:pPr>
        <w:pStyle w:val="ListParagraph"/>
        <w:numPr>
          <w:ilvl w:val="0"/>
          <w:numId w:val="1"/>
        </w:numPr>
      </w:pPr>
      <w:r>
        <w:t xml:space="preserve">TLR7/TLR8 activation probability (0-1 scale)</w:t>
      </w:r>
    </w:p>
    <w:p>
      <w:pPr>
        <w:pStyle w:val="ListParagraph"/>
        <w:numPr>
          <w:ilvl w:val="0"/>
          <w:numId w:val="1"/>
        </w:numPr>
      </w:pPr>
      <w:r>
        <w:t xml:space="preserve">TLR3 activation potential (0-1 scale)</w:t>
      </w:r>
    </w:p>
    <w:p>
      <w:pPr>
        <w:pStyle w:val="ListParagraph"/>
        <w:numPr>
          <w:ilvl w:val="0"/>
          <w:numId w:val="1"/>
        </w:numPr>
      </w:pPr>
      <w:r>
        <w:t xml:space="preserve">RIG-I, MDA5, STING activation probability estimates</w:t>
      </w:r>
    </w:p>
    <w:p>
      <w:pPr>
        <w:pStyle w:val="ListParagraph"/>
        <w:numPr>
          <w:ilvl w:val="0"/>
          <w:numId w:val="1"/>
        </w:numPr>
      </w:pPr>
      <w:r>
        <w:t xml:space="preserve">Predicted primary innate immune pathway(s)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JSON with receptor predictions (TLR3, TLR7, TLR8, TLR9, RIG-I, MDA5, STING) each with probability and confidence.</w:t>
      </w:r>
    </w:p>
    <w:p>
      <w:pPr>
        <w:pStyle w:val="Heading2"/>
        <w:spacing w:before="200" w:after="200"/>
      </w:pPr>
      <w:r>
        <w:t xml:space="preserve">Stage 4: Empirical Safety Database Query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Search published preclinical and clinical safety data for ASOs with similar modification patterns, chemistries, and sequences to find empirical evidence of immune responses.</w:t>
      </w:r>
    </w:p>
    <w:p>
      <w:pPr>
        <w:spacing w:after="100" w:line="360"/>
      </w:pPr>
      <w:r>
        <w:rPr>
          <w:rFonts w:ascii="Arial" w:cs="Arial" w:eastAsia="Arial" w:hAnsi="Arial"/>
          <w:b/>
          <w:bCs/>
          <w:sz w:val="24"/>
          <w:szCs w:val="24"/>
        </w:rPr>
        <w:t xml:space="preserve">Inputs:</w:t>
      </w:r>
    </w:p>
    <w:p>
      <w:pPr>
        <w:pStyle w:val="ListParagraph"/>
        <w:numPr>
          <w:ilvl w:val="0"/>
          <w:numId w:val="1"/>
        </w:numPr>
      </w:pPr>
      <w:r>
        <w:t xml:space="preserve">Chemical modification profile and sequence from earlier stages</w:t>
      </w:r>
    </w:p>
    <w:p>
      <w:pPr>
        <w:pStyle w:val="ListParagraph"/>
        <w:numPr>
          <w:ilvl w:val="0"/>
          <w:numId w:val="1"/>
        </w:numPr>
      </w:pPr>
      <w:r>
        <w:t xml:space="preserve">Target protein information (if available)</w:t>
      </w:r>
    </w:p>
    <w:p>
      <w:pPr>
        <w:pStyle w:val="ListParagraph"/>
        <w:numPr>
          <w:ilvl w:val="0"/>
          <w:numId w:val="1"/>
        </w:numPr>
      </w:pPr>
      <w:r>
        <w:t xml:space="preserve">Query terms (backbone, sugar modification, CpG content, target gene)</w:t>
      </w:r>
    </w:p>
    <w:p>
      <w:pPr>
        <w:spacing w:after="100" w:line="360"/>
      </w:pPr>
      <w:r>
        <w:rPr>
          <w:rFonts w:ascii="Arial" w:cs="Arial" w:eastAsia="Arial" w:hAnsi="Arial"/>
          <w:b/>
          <w:bCs/>
          <w:sz w:val="24"/>
          <w:szCs w:val="24"/>
        </w:rPr>
        <w:t xml:space="preserve">Tools &amp; Databases Called:</w:t>
      </w:r>
    </w:p>
    <w:p>
      <w:pPr>
        <w:pStyle w:val="ListParagraph"/>
        <w:numPr>
          <w:ilvl w:val="0"/>
          <w:numId w:val="1"/>
        </w:numPr>
      </w:pPr>
      <w:r>
        <w:rPr>
          <w:rFonts w:ascii="Arial" w:cs="Arial" w:eastAsia="Arial" w:hAnsi="Arial"/>
          <w:b/>
          <w:bCs/>
          <w:sz w:val="24"/>
          <w:szCs w:val="24"/>
        </w:rPr>
        <w:t xml:space="preserve">PubMed</w:t>
      </w:r>
      <w:r>
        <w:rPr>
          <w:rFonts w:ascii="Arial" w:cs="Arial" w:eastAsia="Arial" w:hAnsi="Arial"/>
          <w:sz w:val="24"/>
          <w:szCs w:val="24"/>
        </w:rPr>
        <w:t xml:space="preserve"> — Search for published ASO safety, immunogenicity, and efficacy studies</w:t>
      </w:r>
    </w:p>
    <w:p>
      <w:pPr>
        <w:pStyle w:val="ListParagraph"/>
        <w:numPr>
          <w:ilvl w:val="0"/>
          <w:numId w:val="1"/>
        </w:numPr>
      </w:pPr>
      <w:r>
        <w:rPr>
          <w:rFonts w:ascii="Arial" w:cs="Arial" w:eastAsia="Arial" w:hAnsi="Arial"/>
          <w:b/>
          <w:bCs/>
          <w:sz w:val="24"/>
          <w:szCs w:val="24"/>
        </w:rPr>
        <w:t xml:space="preserve">ClinicalTrials.gov</w:t>
      </w:r>
      <w:r>
        <w:rPr>
          <w:rFonts w:ascii="Arial" w:cs="Arial" w:eastAsia="Arial" w:hAnsi="Arial"/>
          <w:sz w:val="24"/>
          <w:szCs w:val="24"/>
        </w:rPr>
        <w:t xml:space="preserve"> — Adverse event data from registered clinical trials</w:t>
      </w:r>
    </w:p>
    <w:p>
      <w:pPr>
        <w:pStyle w:val="ListParagraph"/>
        <w:numPr>
          <w:ilvl w:val="0"/>
          <w:numId w:val="1"/>
        </w:numPr>
      </w:pPr>
      <w:r>
        <w:rPr>
          <w:rFonts w:ascii="Arial" w:cs="Arial" w:eastAsia="Arial" w:hAnsi="Arial"/>
          <w:b/>
          <w:bCs/>
          <w:sz w:val="24"/>
          <w:szCs w:val="24"/>
        </w:rPr>
        <w:t xml:space="preserve">FDA DailyMed</w:t>
      </w:r>
      <w:r>
        <w:rPr>
          <w:rFonts w:ascii="Arial" w:cs="Arial" w:eastAsia="Arial" w:hAnsi="Arial"/>
          <w:sz w:val="24"/>
          <w:szCs w:val="24"/>
        </w:rPr>
        <w:t xml:space="preserve"> — Adverse event reports and drug labels for approved ASOs</w:t>
      </w:r>
    </w:p>
    <w:p>
      <w:pPr>
        <w:pStyle w:val="ListParagraph"/>
        <w:numPr>
          <w:ilvl w:val="0"/>
          <w:numId w:val="1"/>
        </w:numPr>
      </w:pPr>
      <w:r>
        <w:rPr>
          <w:rFonts w:ascii="Arial" w:cs="Arial" w:eastAsia="Arial" w:hAnsi="Arial"/>
          <w:b/>
          <w:bCs/>
          <w:sz w:val="24"/>
          <w:szCs w:val="24"/>
        </w:rPr>
        <w:t xml:space="preserve">EMA Assessment Reports</w:t>
      </w:r>
      <w:r>
        <w:rPr>
          <w:rFonts w:ascii="Arial" w:cs="Arial" w:eastAsia="Arial" w:hAnsi="Arial"/>
          <w:sz w:val="24"/>
          <w:szCs w:val="24"/>
        </w:rPr>
        <w:t xml:space="preserve"> — European regulatory safety summaries</w:t>
      </w:r>
    </w:p>
    <w:p>
      <w:pPr>
        <w:pStyle w:val="ListParagraph"/>
        <w:numPr>
          <w:ilvl w:val="0"/>
          <w:numId w:val="1"/>
        </w:numPr>
        <w:spacing w:after="100"/>
      </w:pPr>
      <w:r>
        <w:rPr>
          <w:rFonts w:ascii="Arial" w:cs="Arial" w:eastAsia="Arial" w:hAnsi="Arial"/>
          <w:b/>
          <w:bCs/>
          <w:sz w:val="24"/>
          <w:szCs w:val="24"/>
        </w:rPr>
        <w:t xml:space="preserve">Published ASO Safety Reviews</w:t>
      </w:r>
      <w:r>
        <w:rPr>
          <w:rFonts w:ascii="Arial" w:cs="Arial" w:eastAsia="Arial" w:hAnsi="Arial"/>
          <w:sz w:val="24"/>
          <w:szCs w:val="24"/>
        </w:rPr>
        <w:t xml:space="preserve"> — Ionis, Biogen, and academic safety databases</w:t>
      </w:r>
    </w:p>
    <w:p>
      <w:pPr>
        <w:spacing w:after="100" w:line="360"/>
      </w:pPr>
      <w:r>
        <w:rPr>
          <w:rFonts w:ascii="Arial" w:cs="Arial" w:eastAsia="Arial" w:hAnsi="Arial"/>
          <w:b/>
          <w:bCs/>
          <w:sz w:val="24"/>
          <w:szCs w:val="24"/>
        </w:rPr>
        <w:t xml:space="preserve">Exemplary Sub-Prompts:</w:t>
      </w:r>
    </w:p>
    <w:p>
      <w:pPr>
        <w:pStyle w:val="ListParagraph"/>
        <w:numPr>
          <w:ilvl w:val="0"/>
          <w:numId w:val="1"/>
        </w:numPr>
      </w:pPr>
      <w:r>
        <w:t xml:space="preserve">"Find all published ASOs with 2'-OMe sugar modifications and PS backbone. What cytokine release was reported?"</w:t>
      </w:r>
    </w:p>
    <w:p>
      <w:pPr>
        <w:pStyle w:val="ListParagraph"/>
        <w:numPr>
          <w:ilvl w:val="0"/>
          <w:numId w:val="1"/>
        </w:numPr>
      </w:pPr>
      <w:r>
        <w:t xml:space="preserve">"Search for clinical trial adverse events for ASOs targeting [specific target]. Focus on fever, flu-like symptoms, and elevated IL-6."</w:t>
      </w:r>
    </w:p>
    <w:p>
      <w:pPr>
        <w:pStyle w:val="ListParagraph"/>
        <w:numPr>
          <w:ilvl w:val="0"/>
          <w:numId w:val="1"/>
        </w:numPr>
      </w:pPr>
      <w:r>
        <w:t xml:space="preserve">"What dose-response relationships for cytokine elevation have been reported for similar ASO chemistries?"</w:t>
      </w:r>
    </w:p>
    <w:p>
      <w:pPr>
        <w:spacing w:after="100" w:line="360"/>
      </w:pPr>
      <w:r>
        <w:rPr>
          <w:rFonts w:ascii="Arial" w:cs="Arial" w:eastAsia="Arial" w:hAnsi="Arial"/>
          <w:b/>
          <w:bCs/>
          <w:sz w:val="24"/>
          <w:szCs w:val="24"/>
        </w:rPr>
        <w:t xml:space="preserve">Expected Outputs:</w:t>
      </w:r>
    </w:p>
    <w:p>
      <w:pPr>
        <w:pStyle w:val="ListParagraph"/>
        <w:numPr>
          <w:ilvl w:val="0"/>
          <w:numId w:val="1"/>
        </w:numPr>
      </w:pPr>
      <w:r>
        <w:t xml:space="preserve">List of similar ASOs with reported immune responses</w:t>
      </w:r>
    </w:p>
    <w:p>
      <w:pPr>
        <w:pStyle w:val="ListParagraph"/>
        <w:numPr>
          <w:ilvl w:val="0"/>
          <w:numId w:val="1"/>
        </w:numPr>
      </w:pPr>
      <w:r>
        <w:t xml:space="preserve">Empirical IL-6, TNF-alpha, and other cytokine elevation ranges</w:t>
      </w:r>
    </w:p>
    <w:p>
      <w:pPr>
        <w:pStyle w:val="ListParagraph"/>
        <w:numPr>
          <w:ilvl w:val="0"/>
          <w:numId w:val="1"/>
        </w:numPr>
      </w:pPr>
      <w:r>
        <w:t xml:space="preserve">Dose-response curves (if available)</w:t>
      </w:r>
    </w:p>
    <w:p>
      <w:pPr>
        <w:pStyle w:val="ListParagraph"/>
        <w:numPr>
          <w:ilvl w:val="0"/>
          <w:numId w:val="1"/>
        </w:numPr>
      </w:pPr>
      <w:r>
        <w:t xml:space="preserve">Clinical adverse event frequencies (% incidence of fever, AE severity grading)</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Curated JSON with similar_ASOs (array), empirical_cytokine_data (IL-6, TNF-alpha ranges), dose_response_curves, adverse_event_summary.</w:t>
      </w:r>
    </w:p>
    <w:p>
      <w:pPr>
        <w:pStyle w:val="Heading2"/>
        <w:spacing w:before="200" w:after="200"/>
      </w:pPr>
      <w:r>
        <w:t xml:space="preserve">Stage 5: Quantitative Cytokine Risk Scoring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Build quantitative risk scores for IL-6, TNF-alpha, IL-1beta, and IFN-alpha release based on all evidence layers (chemistry, motifs, receptor predictions, empirical data).</w:t>
      </w:r>
    </w:p>
    <w:p>
      <w:pPr>
        <w:spacing w:after="100" w:line="360"/>
      </w:pPr>
      <w:r>
        <w:rPr>
          <w:rFonts w:ascii="Arial" w:cs="Arial" w:eastAsia="Arial" w:hAnsi="Arial"/>
          <w:b/>
          <w:bCs/>
          <w:sz w:val="24"/>
          <w:szCs w:val="24"/>
        </w:rPr>
        <w:t xml:space="preserve">Inputs:</w:t>
      </w:r>
    </w:p>
    <w:p>
      <w:pPr>
        <w:pStyle w:val="ListParagraph"/>
        <w:numPr>
          <w:ilvl w:val="0"/>
          <w:numId w:val="1"/>
        </w:numPr>
      </w:pPr>
      <w:r>
        <w:t xml:space="preserve">All outputs from Stages 1-4</w:t>
      </w:r>
    </w:p>
    <w:p>
      <w:pPr>
        <w:pStyle w:val="ListParagraph"/>
        <w:numPr>
          <w:ilvl w:val="0"/>
          <w:numId w:val="1"/>
        </w:numPr>
      </w:pPr>
      <w:r>
        <w:t xml:space="preserve">Dose, route of administration, target tissue</w:t>
      </w:r>
    </w:p>
    <w:p>
      <w:pPr>
        <w:pStyle w:val="ListParagraph"/>
        <w:numPr>
          <w:ilvl w:val="0"/>
          <w:numId w:val="1"/>
        </w:numPr>
      </w:pPr>
      <w:r>
        <w:t xml:space="preserve">Patient/subject factors (age, immune status, prior exposure)</w:t>
      </w:r>
    </w:p>
    <w:p>
      <w:pPr>
        <w:spacing w:after="100" w:line="360"/>
      </w:pPr>
      <w:r>
        <w:rPr>
          <w:rFonts w:ascii="Arial" w:cs="Arial" w:eastAsia="Arial" w:hAnsi="Arial"/>
          <w:b/>
          <w:bCs/>
          <w:sz w:val="24"/>
          <w:szCs w:val="24"/>
        </w:rPr>
        <w:t xml:space="preserve">Tools &amp; Databases Called:</w:t>
      </w:r>
    </w:p>
    <w:p>
      <w:pPr>
        <w:pStyle w:val="ListParagraph"/>
        <w:numPr>
          <w:ilvl w:val="0"/>
          <w:numId w:val="1"/>
        </w:numPr>
      </w:pPr>
      <w:r>
        <w:rPr>
          <w:rFonts w:ascii="Arial" w:cs="Arial" w:eastAsia="Arial" w:hAnsi="Arial"/>
          <w:b/>
          <w:bCs/>
          <w:sz w:val="24"/>
          <w:szCs w:val="24"/>
        </w:rPr>
        <w:t xml:space="preserve">Sapphire Cytokine Risk Model</w:t>
      </w:r>
      <w:r>
        <w:rPr>
          <w:rFonts w:ascii="Arial" w:cs="Arial" w:eastAsia="Arial" w:hAnsi="Arial"/>
          <w:sz w:val="24"/>
          <w:szCs w:val="24"/>
        </w:rPr>
        <w:t xml:space="preserve"> — Proprietary quantitative risk scoring engine</w:t>
      </w:r>
    </w:p>
    <w:p>
      <w:pPr>
        <w:pStyle w:val="ListParagraph"/>
        <w:numPr>
          <w:ilvl w:val="0"/>
          <w:numId w:val="1"/>
        </w:numPr>
      </w:pPr>
      <w:r>
        <w:rPr>
          <w:rFonts w:ascii="Arial" w:cs="Arial" w:eastAsia="Arial" w:hAnsi="Arial"/>
          <w:b/>
          <w:bCs/>
          <w:sz w:val="24"/>
          <w:szCs w:val="24"/>
        </w:rPr>
        <w:t xml:space="preserve">Dose-Response Modeling</w:t>
      </w:r>
      <w:r>
        <w:rPr>
          <w:rFonts w:ascii="Arial" w:cs="Arial" w:eastAsia="Arial" w:hAnsi="Arial"/>
          <w:sz w:val="24"/>
          <w:szCs w:val="24"/>
        </w:rPr>
        <w:t xml:space="preserve"> — Quantitative pharmacokinetic/pharmacodynamic integration</w:t>
      </w:r>
    </w:p>
    <w:p>
      <w:pPr>
        <w:pStyle w:val="ListParagraph"/>
        <w:numPr>
          <w:ilvl w:val="0"/>
          <w:numId w:val="1"/>
        </w:numPr>
        <w:spacing w:after="100"/>
      </w:pPr>
      <w:r>
        <w:rPr>
          <w:rFonts w:ascii="Arial" w:cs="Arial" w:eastAsia="Arial" w:hAnsi="Arial"/>
          <w:b/>
          <w:bCs/>
          <w:sz w:val="24"/>
          <w:szCs w:val="24"/>
        </w:rPr>
        <w:t xml:space="preserve">Therapeutic Index Calculation</w:t>
      </w:r>
      <w:r>
        <w:rPr>
          <w:rFonts w:ascii="Arial" w:cs="Arial" w:eastAsia="Arial" w:hAnsi="Arial"/>
          <w:sz w:val="24"/>
          <w:szCs w:val="24"/>
        </w:rPr>
        <w:t xml:space="preserve"> — Safety vs. efficacy margin estimation</w:t>
      </w:r>
    </w:p>
    <w:p>
      <w:pPr>
        <w:spacing w:after="100" w:line="360"/>
      </w:pPr>
      <w:r>
        <w:rPr>
          <w:rFonts w:ascii="Arial" w:cs="Arial" w:eastAsia="Arial" w:hAnsi="Arial"/>
          <w:b/>
          <w:bCs/>
          <w:sz w:val="24"/>
          <w:szCs w:val="24"/>
        </w:rPr>
        <w:t xml:space="preserve">Exemplary Sub-Prompts:</w:t>
      </w:r>
    </w:p>
    <w:p>
      <w:pPr>
        <w:pStyle w:val="ListParagraph"/>
        <w:numPr>
          <w:ilvl w:val="0"/>
          <w:numId w:val="1"/>
        </w:numPr>
      </w:pPr>
      <w:r>
        <w:t xml:space="preserve">"Integrate chemistry risk, motif burden, receptor activation probabilities, and empirical data to generate a composite IL-6 risk score (0-100 scale)."</w:t>
      </w:r>
    </w:p>
    <w:p>
      <w:pPr>
        <w:pStyle w:val="ListParagraph"/>
        <w:numPr>
          <w:ilvl w:val="0"/>
          <w:numId w:val="1"/>
        </w:numPr>
      </w:pPr>
      <w:r>
        <w:t xml:space="preserve">"What is the projected dose-response curve for IL-6 elevation at the intended therapeutic dose?"</w:t>
      </w:r>
    </w:p>
    <w:p>
      <w:pPr>
        <w:pStyle w:val="ListParagraph"/>
        <w:numPr>
          <w:ilvl w:val="0"/>
          <w:numId w:val="1"/>
        </w:numPr>
      </w:pPr>
      <w:r>
        <w:t xml:space="preserve">"Calculate the therapeutic index: efficacy dose vs. no-observable-adverse-effect level (NOAEL) for IL-6."</w:t>
      </w:r>
    </w:p>
    <w:p>
      <w:pPr>
        <w:spacing w:after="100" w:line="360"/>
      </w:pPr>
      <w:r>
        <w:rPr>
          <w:rFonts w:ascii="Arial" w:cs="Arial" w:eastAsia="Arial" w:hAnsi="Arial"/>
          <w:b/>
          <w:bCs/>
          <w:sz w:val="24"/>
          <w:szCs w:val="24"/>
        </w:rPr>
        <w:t xml:space="preserve">Expected Outputs:</w:t>
      </w:r>
    </w:p>
    <w:p>
      <w:pPr>
        <w:pStyle w:val="ListParagraph"/>
        <w:numPr>
          <w:ilvl w:val="0"/>
          <w:numId w:val="1"/>
        </w:numPr>
      </w:pPr>
      <w:r>
        <w:t xml:space="preserve">IL-6 risk score (0-100, higher = greater risk)</w:t>
      </w:r>
    </w:p>
    <w:p>
      <w:pPr>
        <w:pStyle w:val="ListParagraph"/>
        <w:numPr>
          <w:ilvl w:val="0"/>
          <w:numId w:val="1"/>
        </w:numPr>
      </w:pPr>
      <w:r>
        <w:t xml:space="preserve">TNF-alpha risk score (0-100, higher = greater risk)</w:t>
      </w:r>
    </w:p>
    <w:p>
      <w:pPr>
        <w:pStyle w:val="ListParagraph"/>
        <w:numPr>
          <w:ilvl w:val="0"/>
          <w:numId w:val="1"/>
        </w:numPr>
      </w:pPr>
      <w:r>
        <w:t xml:space="preserve">IL-1beta and IFN-alpha risk scores (0-100 scale)</w:t>
      </w:r>
    </w:p>
    <w:p>
      <w:pPr>
        <w:pStyle w:val="ListParagraph"/>
        <w:numPr>
          <w:ilvl w:val="0"/>
          <w:numId w:val="1"/>
        </w:numPr>
      </w:pPr>
      <w:r>
        <w:t xml:space="preserve">Projected peak cytokine levels at intended therapeutic dose</w:t>
      </w:r>
    </w:p>
    <w:p>
      <w:pPr>
        <w:pStyle w:val="ListParagraph"/>
        <w:numPr>
          <w:ilvl w:val="0"/>
          <w:numId w:val="1"/>
        </w:numPr>
      </w:pPr>
      <w:r>
        <w:t xml:space="preserve">Clinical risk category (Low, Moderate, High, Prohibitive)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JSON with IL6_risk_score, TNFalpha_risk_score, IL1beta_risk_score, IFNalpha_risk_score, projected_peak_levels, risk_category, confidence.</w:t>
      </w:r>
    </w:p>
    <w:p>
      <w:pPr>
        <w:pStyle w:val="Heading2"/>
        <w:spacing w:before="200" w:after="200"/>
      </w:pPr>
      <w:r>
        <w:t xml:space="preserve">Stage 6: Mitigation Strategy &amp; Recommendations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Recommend chemical modification changes, dose adjustments, premedication strategies, or other interventions to reduce cytokine release risk while maintaining therapeutic efficacy.</w:t>
      </w:r>
    </w:p>
    <w:p>
      <w:pPr>
        <w:spacing w:after="100" w:line="360"/>
      </w:pPr>
      <w:r>
        <w:rPr>
          <w:rFonts w:ascii="Arial" w:cs="Arial" w:eastAsia="Arial" w:hAnsi="Arial"/>
          <w:b/>
          <w:bCs/>
          <w:sz w:val="24"/>
          <w:szCs w:val="24"/>
        </w:rPr>
        <w:t xml:space="preserve">Inputs:</w:t>
      </w:r>
    </w:p>
    <w:p>
      <w:pPr>
        <w:pStyle w:val="ListParagraph"/>
        <w:numPr>
          <w:ilvl w:val="0"/>
          <w:numId w:val="1"/>
        </w:numPr>
      </w:pPr>
      <w:r>
        <w:t xml:space="preserve">Risk scores and clinical category from Stage 5</w:t>
      </w:r>
    </w:p>
    <w:p>
      <w:pPr>
        <w:pStyle w:val="ListParagraph"/>
        <w:numPr>
          <w:ilvl w:val="0"/>
          <w:numId w:val="1"/>
        </w:numPr>
      </w:pPr>
      <w:r>
        <w:t xml:space="preserve">Chemistry, motif, and receptor activation data from Stages 1-3</w:t>
      </w:r>
    </w:p>
    <w:p>
      <w:pPr>
        <w:pStyle w:val="ListParagraph"/>
        <w:numPr>
          <w:ilvl w:val="0"/>
          <w:numId w:val="1"/>
        </w:numPr>
      </w:pPr>
      <w:r>
        <w:t xml:space="preserve">Published mitigation strategies and efficacy constraints</w:t>
      </w:r>
    </w:p>
    <w:p>
      <w:pPr>
        <w:spacing w:after="100" w:line="360"/>
      </w:pPr>
      <w:r>
        <w:rPr>
          <w:rFonts w:ascii="Arial" w:cs="Arial" w:eastAsia="Arial" w:hAnsi="Arial"/>
          <w:b/>
          <w:bCs/>
          <w:sz w:val="24"/>
          <w:szCs w:val="24"/>
        </w:rPr>
        <w:t xml:space="preserve">Tools &amp; Databases Called:</w:t>
      </w:r>
    </w:p>
    <w:p>
      <w:pPr>
        <w:pStyle w:val="ListParagraph"/>
        <w:numPr>
          <w:ilvl w:val="0"/>
          <w:numId w:val="1"/>
        </w:numPr>
      </w:pPr>
      <w:r>
        <w:rPr>
          <w:rFonts w:ascii="Arial" w:cs="Arial" w:eastAsia="Arial" w:hAnsi="Arial"/>
          <w:b/>
          <w:bCs/>
          <w:sz w:val="24"/>
          <w:szCs w:val="24"/>
        </w:rPr>
        <w:t xml:space="preserve">Sapphire Mitigation Engine</w:t>
      </w:r>
      <w:r>
        <w:rPr>
          <w:rFonts w:ascii="Arial" w:cs="Arial" w:eastAsia="Arial" w:hAnsi="Arial"/>
          <w:sz w:val="24"/>
          <w:szCs w:val="24"/>
        </w:rPr>
        <w:t xml:space="preserve"> — Recommends modification strategies to reduce risk</w:t>
      </w:r>
    </w:p>
    <w:p>
      <w:pPr>
        <w:pStyle w:val="ListParagraph"/>
        <w:numPr>
          <w:ilvl w:val="0"/>
          <w:numId w:val="1"/>
        </w:numPr>
      </w:pPr>
      <w:r>
        <w:rPr>
          <w:rFonts w:ascii="Arial" w:cs="Arial" w:eastAsia="Arial" w:hAnsi="Arial"/>
          <w:b/>
          <w:bCs/>
          <w:sz w:val="24"/>
          <w:szCs w:val="24"/>
        </w:rPr>
        <w:t xml:space="preserve">Published Mitigation Strategies</w:t>
      </w:r>
      <w:r>
        <w:rPr>
          <w:rFonts w:ascii="Arial" w:cs="Arial" w:eastAsia="Arial" w:hAnsi="Arial"/>
          <w:sz w:val="24"/>
          <w:szCs w:val="24"/>
        </w:rPr>
        <w:t xml:space="preserve"> — Steroid premedication, chemistry optimization, dose titration</w:t>
      </w:r>
    </w:p>
    <w:p>
      <w:pPr>
        <w:pStyle w:val="ListParagraph"/>
        <w:numPr>
          <w:ilvl w:val="0"/>
          <w:numId w:val="1"/>
        </w:numPr>
        <w:spacing w:after="100"/>
      </w:pPr>
      <w:r>
        <w:rPr>
          <w:rFonts w:ascii="Arial" w:cs="Arial" w:eastAsia="Arial" w:hAnsi="Arial"/>
          <w:b/>
          <w:bCs/>
          <w:sz w:val="24"/>
          <w:szCs w:val="24"/>
        </w:rPr>
        <w:t xml:space="preserve">Quiver Confidence Scoring</w:t>
      </w:r>
      <w:r>
        <w:rPr>
          <w:rFonts w:ascii="Arial" w:cs="Arial" w:eastAsia="Arial" w:hAnsi="Arial"/>
          <w:sz w:val="24"/>
          <w:szCs w:val="24"/>
        </w:rPr>
        <w:t xml:space="preserve"> — Assigns confidence to recommendation feasibility and efficacy</w:t>
      </w:r>
    </w:p>
    <w:p>
      <w:pPr>
        <w:spacing w:after="100" w:line="360"/>
      </w:pPr>
      <w:r>
        <w:rPr>
          <w:rFonts w:ascii="Arial" w:cs="Arial" w:eastAsia="Arial" w:hAnsi="Arial"/>
          <w:b/>
          <w:bCs/>
          <w:sz w:val="24"/>
          <w:szCs w:val="24"/>
        </w:rPr>
        <w:t xml:space="preserve">Exemplary Sub-Prompts:</w:t>
      </w:r>
    </w:p>
    <w:p>
      <w:pPr>
        <w:pStyle w:val="ListParagraph"/>
        <w:numPr>
          <w:ilvl w:val="0"/>
          <w:numId w:val="1"/>
        </w:numPr>
      </w:pPr>
      <w:r>
        <w:t xml:space="preserve">"If CpG content is high, recommend chemical modifications (e.g., deamination, additional 2'-OMe) to reduce CpG immunostimulation."</w:t>
      </w:r>
    </w:p>
    <w:p>
      <w:pPr>
        <w:pStyle w:val="ListParagraph"/>
        <w:numPr>
          <w:ilvl w:val="0"/>
          <w:numId w:val="1"/>
        </w:numPr>
      </w:pPr>
      <w:r>
        <w:t xml:space="preserve">"Based on the risk score, recommend premedication protocol: e.g., dexamethasone + acetaminophen 1 hour prior to infusion."</w:t>
      </w:r>
    </w:p>
    <w:p>
      <w:pPr>
        <w:pStyle w:val="ListParagraph"/>
        <w:numPr>
          <w:ilvl w:val="0"/>
          <w:numId w:val="1"/>
        </w:numPr>
      </w:pPr>
      <w:r>
        <w:t xml:space="preserve">"What dose reduction or titration schedule would reduce IL-6 risk to acceptable levels without compromising efficacy?"</w:t>
      </w:r>
    </w:p>
    <w:p>
      <w:pPr>
        <w:spacing w:after="100" w:line="360"/>
      </w:pPr>
      <w:r>
        <w:rPr>
          <w:rFonts w:ascii="Arial" w:cs="Arial" w:eastAsia="Arial" w:hAnsi="Arial"/>
          <w:b/>
          <w:bCs/>
          <w:sz w:val="24"/>
          <w:szCs w:val="24"/>
        </w:rPr>
        <w:t xml:space="preserve">Expected Outputs:</w:t>
      </w:r>
    </w:p>
    <w:p>
      <w:pPr>
        <w:pStyle w:val="ListParagraph"/>
        <w:numPr>
          <w:ilvl w:val="0"/>
          <w:numId w:val="1"/>
        </w:numPr>
      </w:pPr>
      <w:r>
        <w:t xml:space="preserve">Prioritized list of recommended chemical modifications (ranked by impact on risk reduction)</w:t>
      </w:r>
    </w:p>
    <w:p>
      <w:pPr>
        <w:pStyle w:val="ListParagraph"/>
        <w:numPr>
          <w:ilvl w:val="0"/>
          <w:numId w:val="1"/>
        </w:numPr>
      </w:pPr>
      <w:r>
        <w:t xml:space="preserve">Premedication strategy with specific agents and timing</w:t>
      </w:r>
    </w:p>
    <w:p>
      <w:pPr>
        <w:pStyle w:val="ListParagraph"/>
        <w:numPr>
          <w:ilvl w:val="0"/>
          <w:numId w:val="1"/>
        </w:numPr>
      </w:pPr>
      <w:r>
        <w:t xml:space="preserve">Recommended dose adjustments or titration protocols</w:t>
      </w:r>
    </w:p>
    <w:p>
      <w:pPr>
        <w:pStyle w:val="ListParagraph"/>
        <w:numPr>
          <w:ilvl w:val="0"/>
          <w:numId w:val="1"/>
        </w:numPr>
      </w:pPr>
      <w:r>
        <w:t xml:space="preserve">Projected risk reduction for each recommendation</w:t>
      </w:r>
    </w:p>
    <w:p>
      <w:pPr>
        <w:pStyle w:val="ListParagraph"/>
        <w:numPr>
          <w:ilvl w:val="0"/>
          <w:numId w:val="1"/>
        </w:numPr>
      </w:pPr>
      <w:r>
        <w:t xml:space="preserve">Expected efficacy impact for each modification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JSON with recommendations (array of chemical_modifications, premedication_strategy, dose_adjustments), each with predicted_risk_reduction, efficacy_impact, confidence_score.</w:t>
      </w:r>
    </w:p>
    <w:p>
      <w:pPr>
        <w:pStyle w:val="Heading2"/>
        <w:spacing w:before="200" w:after="200"/>
      </w:pPr>
      <w:r>
        <w:t xml:space="preserve">Tools &amp; Databases Summary</w:t>
      </w:r>
    </w:p>
    <w:p>
      <w:pPr>
        <w:pStyle w:val="ListParagraph"/>
        <w:numPr>
          <w:ilvl w:val="0"/>
          <w:numId w:val="1"/>
        </w:numPr>
      </w:pPr>
      <w:r>
        <w:t xml:space="preserve">Sapphire ASO Chemistry Parser</w:t>
      </w:r>
    </w:p>
    <w:p>
      <w:pPr>
        <w:pStyle w:val="ListParagraph"/>
        <w:numPr>
          <w:ilvl w:val="0"/>
          <w:numId w:val="1"/>
        </w:numPr>
      </w:pPr>
      <w:r>
        <w:t xml:space="preserve">ChEMBL</w:t>
      </w:r>
    </w:p>
    <w:p>
      <w:pPr>
        <w:pStyle w:val="ListParagraph"/>
        <w:numPr>
          <w:ilvl w:val="0"/>
          <w:numId w:val="1"/>
        </w:numPr>
      </w:pPr>
      <w:r>
        <w:t xml:space="preserve">CpG Motif Scanner</w:t>
      </w:r>
    </w:p>
    <w:p>
      <w:pPr>
        <w:pStyle w:val="ListParagraph"/>
        <w:numPr>
          <w:ilvl w:val="0"/>
          <w:numId w:val="1"/>
        </w:numPr>
      </w:pPr>
      <w:r>
        <w:t xml:space="preserve">GU-Rich Motif Identification</w:t>
      </w:r>
    </w:p>
    <w:p>
      <w:pPr>
        <w:pStyle w:val="ListParagraph"/>
        <w:numPr>
          <w:ilvl w:val="0"/>
          <w:numId w:val="1"/>
        </w:numPr>
      </w:pPr>
      <w:r>
        <w:t xml:space="preserve">TLR Ligand Prediction Algorithms</w:t>
      </w:r>
    </w:p>
    <w:p>
      <w:pPr>
        <w:pStyle w:val="ListParagraph"/>
        <w:numPr>
          <w:ilvl w:val="0"/>
          <w:numId w:val="1"/>
        </w:numPr>
      </w:pPr>
      <w:r>
        <w:t xml:space="preserve">TLR Binding Prediction Models</w:t>
      </w:r>
    </w:p>
    <w:p>
      <w:pPr>
        <w:pStyle w:val="ListParagraph"/>
        <w:numPr>
          <w:ilvl w:val="0"/>
          <w:numId w:val="1"/>
        </w:numPr>
      </w:pPr>
      <w:r>
        <w:t xml:space="preserve">Published Immunostimulatory Motif Databases</w:t>
      </w:r>
    </w:p>
    <w:p>
      <w:pPr>
        <w:pStyle w:val="ListParagraph"/>
        <w:numPr>
          <w:ilvl w:val="0"/>
          <w:numId w:val="1"/>
        </w:numPr>
      </w:pPr>
      <w:r>
        <w:t xml:space="preserve">Published Structure-Activity Relationships for Oligonucleotide Immune Activation</w:t>
      </w:r>
    </w:p>
    <w:p>
      <w:pPr>
        <w:pStyle w:val="ListParagraph"/>
        <w:numPr>
          <w:ilvl w:val="0"/>
          <w:numId w:val="1"/>
        </w:numPr>
      </w:pPr>
      <w:r>
        <w:t xml:space="preserve">Quiver Immune Response Data</w:t>
      </w:r>
    </w:p>
    <w:p>
      <w:pPr>
        <w:pStyle w:val="ListParagraph"/>
        <w:numPr>
          <w:ilvl w:val="0"/>
          <w:numId w:val="1"/>
        </w:numPr>
      </w:pPr>
      <w:r>
        <w:t xml:space="preserve">PubMed</w:t>
      </w:r>
    </w:p>
    <w:p>
      <w:pPr>
        <w:pStyle w:val="ListParagraph"/>
        <w:numPr>
          <w:ilvl w:val="0"/>
          <w:numId w:val="1"/>
        </w:numPr>
      </w:pPr>
      <w:r>
        <w:t xml:space="preserve">ClinicalTrials.gov</w:t>
      </w:r>
    </w:p>
    <w:p>
      <w:pPr>
        <w:pStyle w:val="ListParagraph"/>
        <w:numPr>
          <w:ilvl w:val="0"/>
          <w:numId w:val="1"/>
        </w:numPr>
      </w:pPr>
      <w:r>
        <w:t xml:space="preserve">FDA DailyMed</w:t>
      </w:r>
    </w:p>
    <w:p>
      <w:pPr>
        <w:pStyle w:val="ListParagraph"/>
        <w:numPr>
          <w:ilvl w:val="0"/>
          <w:numId w:val="1"/>
        </w:numPr>
      </w:pPr>
      <w:r>
        <w:t xml:space="preserve">EMA Assessment Reports</w:t>
      </w:r>
    </w:p>
    <w:p>
      <w:pPr>
        <w:pStyle w:val="ListParagraph"/>
        <w:numPr>
          <w:ilvl w:val="0"/>
          <w:numId w:val="1"/>
        </w:numPr>
      </w:pPr>
      <w:r>
        <w:t xml:space="preserve">Published ASO Safety Reviews (Ionis, Biogen, academic)</w:t>
      </w:r>
    </w:p>
    <w:p>
      <w:pPr>
        <w:pStyle w:val="ListParagraph"/>
        <w:numPr>
          <w:ilvl w:val="0"/>
          <w:numId w:val="1"/>
        </w:numPr>
      </w:pPr>
      <w:r>
        <w:t xml:space="preserve">Sapphire Cytokine Risk Model</w:t>
      </w:r>
    </w:p>
    <w:p>
      <w:pPr>
        <w:pStyle w:val="ListParagraph"/>
        <w:numPr>
          <w:ilvl w:val="0"/>
          <w:numId w:val="1"/>
        </w:numPr>
      </w:pPr>
      <w:r>
        <w:t xml:space="preserve">Dose-Response Modeling Tools</w:t>
      </w:r>
    </w:p>
    <w:p>
      <w:pPr>
        <w:pStyle w:val="ListParagraph"/>
        <w:numPr>
          <w:ilvl w:val="0"/>
          <w:numId w:val="1"/>
        </w:numPr>
      </w:pPr>
      <w:r>
        <w:t xml:space="preserve">Therapeutic Index Calculation Engine</w:t>
      </w:r>
    </w:p>
    <w:p>
      <w:pPr>
        <w:pStyle w:val="ListParagraph"/>
        <w:numPr>
          <w:ilvl w:val="0"/>
          <w:numId w:val="1"/>
        </w:numPr>
      </w:pPr>
      <w:r>
        <w:t xml:space="preserve">Sapphire Mitigation Engine</w:t>
      </w:r>
    </w:p>
    <w:p>
      <w:pPr>
        <w:pStyle w:val="ListParagraph"/>
        <w:numPr>
          <w:ilvl w:val="0"/>
          <w:numId w:val="1"/>
        </w:numPr>
      </w:pPr>
      <w:r>
        <w:t xml:space="preserve">Quiver Confidence Scoring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sz w:val="32"/>
      <w:szCs w:val="32"/>
    </w:rPr>
  </w:style>
  <w:style w:type="paragraph" w:styleId="Heading2">
    <w:name w:val="Heading 2"/>
    <w:basedOn w:val="Normal"/>
    <w:next w:val="Normal"/>
    <w:qFormat/>
    <w:pPr>
      <w:spacing w:before="200" w:after="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2026-02-18T21:15:14.470Z</dcterms:created>
  <dcterms:modified xsi:type="dcterms:W3CDTF">2026-02-18T21:15:14.471Z</dcterms:modified>
</cp:coreProperties>
</file>

<file path=docProps/custom.xml><?xml version="1.0" encoding="utf-8"?>
<Properties xmlns="http://schemas.openxmlformats.org/officeDocument/2006/custom-properties" xmlns:vt="http://schemas.openxmlformats.org/officeDocument/2006/docPropsVTypes"/>
</file>