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 w:line="360"/>
      </w:pPr>
      <w:r>
        <w:t xml:space="preserve">Sapphire Pipeline Workflow</w:t>
      </w:r>
    </w:p>
    <w:p>
      <w:pPr>
        <w:pStyle w:val="Heading2"/>
        <w:spacing w:before="200" w:after="200" w:line="360"/>
      </w:pPr>
      <w:r>
        <w:t xml:space="preserve">Prompt: "Which gene perturbations are most similar to TSC2 based on their EP profiles/signatures?"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 w:line="360"/>
      </w:pPr>
      <w: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gene perturbations with electrophysiology (EP) profiles most similar to TSC2, leveraging Quiver's comprehensive CRISPR-based electrophysiology atlas. The workflow represents a core Quiver platform capability — cross-gene EP similarity search — enabling rapid discovery of genes with phenotypically similar cellular electrophysiological signatures.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pipeline proceeds through six sequential stages: extracting TSC2's reference EP profile, constructing the multi-dimensional EP feature space, computing similarity metrics and rankings, enriching results with biological pathway context, assessing therapeutic implications, and providing confidence scoring with validation recommendations.</w:t>
      </w:r>
    </w:p>
    <w:p>
      <w:pPr>
        <w:pStyle w:val="Heading2"/>
        <w:spacing w:before="200" w:after="200" w:line="360"/>
      </w:pPr>
      <w:r>
        <w:t xml:space="preserve">Stage 1: TSC2 Reference EP Profile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the complete electrophysiology signature for TSC2 perturbation from Quiver's CRISPR atlas. Normalize across all measured EP features to establish a reference profile for downstream similarity comparisons.</w:t>
      </w:r>
    </w:p>
    <w:p>
      <w:pPr>
        <w:spacing w:after="100" w:line="36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TSC2 gene identifier (NCBI, Ensembl)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Raw electrophysiology recording data from Quiver CRISPR perturbation experiments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Cell type/culture conditions for TSC2 perturbation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Feature extraction templates and normalization parameters</w:t>
      </w:r>
    </w:p>
    <w:p>
      <w:pPr>
        <w:spacing w:after="100" w:line="36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 — </w:t>
      </w:r>
      <w:r>
        <w:rPr>
          <w:rFonts w:ascii="Arial" w:cs="Arial" w:eastAsia="Arial" w:hAnsi="Arial"/>
          <w:sz w:val="24"/>
          <w:szCs w:val="24"/>
        </w:rPr>
        <w:t xml:space="preserve">retrieves complete EP recording dataset and metadata for TSC2 perturbation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Feature Extraction Pipeline — </w:t>
      </w:r>
      <w:r>
        <w:rPr>
          <w:rFonts w:ascii="Arial" w:cs="Arial" w:eastAsia="Arial" w:hAnsi="Arial"/>
          <w:sz w:val="24"/>
          <w:szCs w:val="24"/>
        </w:rPr>
        <w:t xml:space="preserve">computes firing rate, burst frequency, amplitude, latency, waveform parameters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Internal Normalization Algorithms — </w:t>
      </w:r>
      <w:r>
        <w:rPr>
          <w:rFonts w:ascii="Arial" w:cs="Arial" w:eastAsia="Arial" w:hAnsi="Arial"/>
          <w:sz w:val="24"/>
          <w:szCs w:val="24"/>
        </w:rPr>
        <w:t xml:space="preserve">z-score normalization, batch effect correction, quantile normalization across features</w:t>
      </w:r>
    </w:p>
    <w:p>
      <w:pPr>
        <w:spacing w:after="100" w:line="36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the measured EP parameters for TSC2 CRISPR knockdown in neuronal cultures?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How do EP features vary across replicates and cell batches for TSC2 perturbation?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optimal normalization strategy for cross-gene EP comparisons?</w:t>
      </w:r>
    </w:p>
    <w:p>
      <w:pPr>
        <w:spacing w:after="100" w:line="36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Normalized EP feature vector for TSC2 (e.g., [firing_rate, burst_freq, amplitude, ...])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Metadata: cell type, culture conditions, replicate count, confidence estimates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Quality metrics: signal-to-noise ratios, feature completeness, batch effect indicators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with TSC2 EP vector, metadata tags, QC metrics. Stored in memory for Stage 2 input.</w:t>
      </w:r>
    </w:p>
    <w:p>
      <w:pPr>
        <w:pStyle w:val="Heading2"/>
        <w:spacing w:before="200" w:after="200" w:line="360"/>
      </w:pPr>
      <w:r>
        <w:t xml:space="preserve">Stage 2: EP Feature Space Construction &amp; Dimensionality Reduction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the multi-dimensional EP feature space across all gene perturbations in Quiver's atlas. Apply dimensionality reduction (PCA, UMAP) to visualize gene clusters and identify candidate similar genes before formal similarity scoring.</w:t>
      </w:r>
    </w:p>
    <w:p>
      <w:pPr>
        <w:spacing w:after="100" w:line="36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TSC2 normalized EP vector (from Stage 1)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Complete Quiver EP Atlas: EP feature vectors for all gene perturbations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Feature metadata: feature names, units, biophysical interpretations</w:t>
      </w:r>
    </w:p>
    <w:p>
      <w:pPr>
        <w:spacing w:after="100" w:line="36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(full dataset) — </w:t>
      </w:r>
      <w:r>
        <w:rPr>
          <w:rFonts w:ascii="Arial" w:cs="Arial" w:eastAsia="Arial" w:hAnsi="Arial"/>
          <w:sz w:val="24"/>
          <w:szCs w:val="24"/>
        </w:rPr>
        <w:t xml:space="preserve">retrieves normalized EP vectors for all perturbed genes in the collection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scikit-learn (PCA) — </w:t>
      </w:r>
      <w:r>
        <w:rPr>
          <w:rFonts w:ascii="Arial" w:cs="Arial" w:eastAsia="Arial" w:hAnsi="Arial"/>
          <w:sz w:val="24"/>
          <w:szCs w:val="24"/>
        </w:rPr>
        <w:t xml:space="preserve">principal component analysis for variance decomposition and feature ranking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scikit-learn (UMAP) — </w:t>
      </w:r>
      <w:r>
        <w:rPr>
          <w:rFonts w:ascii="Arial" w:cs="Arial" w:eastAsia="Arial" w:hAnsi="Arial"/>
          <w:sz w:val="24"/>
          <w:szCs w:val="24"/>
        </w:rPr>
        <w:t xml:space="preserve">Uniform Manifold Approximation and Projection for 2D/3D visualization of gene-EP relationships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scipy (distance metrics) — </w:t>
      </w:r>
      <w:r>
        <w:rPr>
          <w:rFonts w:ascii="Arial" w:cs="Arial" w:eastAsia="Arial" w:hAnsi="Arial"/>
          <w:sz w:val="24"/>
          <w:szCs w:val="24"/>
        </w:rPr>
        <w:t xml:space="preserve">Euclidean, Manhattan, cosine distance calculations</w:t>
      </w:r>
    </w:p>
    <w:p>
      <w:pPr>
        <w:spacing w:after="100" w:line="36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Which EP features explain the most variance across gene perturbations?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In UMAP space, which genes cluster closest to TSC2?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the principal axes of EP variation in the atlas?</w:t>
      </w:r>
    </w:p>
    <w:p>
      <w:pPr>
        <w:spacing w:after="100" w:line="36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PCA variance explained by top K components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UMAP 2D/3D coordinates for all genes (for visualization)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Gene clusters and preliminary candidate similarity list (visual/heuristic)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Feature importance rankings for EP variation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Python dict/JSON with PCA components, UMAP coordinates, feature loadings. PNG visualization plots.</w:t>
      </w:r>
    </w:p>
    <w:p>
      <w:pPr>
        <w:pStyle w:val="Heading2"/>
        <w:spacing w:before="200" w:after="200" w:line="360"/>
      </w:pPr>
      <w:r>
        <w:t xml:space="preserve">Stage 3: Similarity Metric Computation &amp;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Compute pairwise similarity between TSC2 and all other gene perturbations using multiple distance/similarity metrics. Rank genes by composite similarity score to establish statistically robust candidate list.</w:t>
      </w:r>
    </w:p>
    <w:p>
      <w:pPr>
        <w:spacing w:after="100" w:line="36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TSC2 normalized EP vector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All gene EP vectors from Quiver atlas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Distance metric parameters and similarity weighting scheme</w:t>
      </w:r>
    </w:p>
    <w:p>
      <w:pPr>
        <w:spacing w:after="100" w:line="36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Similarity Engine — </w:t>
      </w:r>
      <w:r>
        <w:rPr>
          <w:rFonts w:ascii="Arial" w:cs="Arial" w:eastAsia="Arial" w:hAnsi="Arial"/>
          <w:sz w:val="24"/>
          <w:szCs w:val="24"/>
        </w:rPr>
        <w:t xml:space="preserve">optimized pairwise similarity computation across large EP datasets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scipy.spatial (distance) — </w:t>
      </w:r>
      <w:r>
        <w:rPr>
          <w:rFonts w:ascii="Arial" w:cs="Arial" w:eastAsia="Arial" w:hAnsi="Arial"/>
          <w:sz w:val="24"/>
          <w:szCs w:val="24"/>
        </w:rPr>
        <w:t xml:space="preserve">cosine_distances, euclidean_distances, correlation metrics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 Weighted Similarity Scoring — </w:t>
      </w:r>
      <w:r>
        <w:rPr>
          <w:rFonts w:ascii="Arial" w:cs="Arial" w:eastAsia="Arial" w:hAnsi="Arial"/>
          <w:sz w:val="24"/>
          <w:szCs w:val="24"/>
        </w:rPr>
        <w:t xml:space="preserve">composite score: w_cosine * cosine_sim + w_pearson * pearson_corr + w_euclidean * (1 / (1 + euclidean_dist))</w:t>
      </w:r>
    </w:p>
    <w:p>
      <w:pPr>
        <w:spacing w:after="100" w:line="36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are the top 20 genes by cosine similarity to TSC2 EP profile?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How does Pearson correlation vs. Euclidean distance rank EP-similar genes?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composite similarity score for candidate genes?</w:t>
      </w:r>
    </w:p>
    <w:p>
      <w:pPr>
        <w:spacing w:after="100" w:line="36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Ranked gene list with similarity scores (sorted by composite score, descending)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Per-gene metrics: cosine, Pearson, Euclidean, composite score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P-values/Z-scores from permutation or null distribution testing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Confidence intervals for top candidates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CSV/TSV with columns: gene_id | gene_name | cosine_sim | pearson_corr | euclidean_dist | composite_score | p_value | q_value</w:t>
      </w:r>
    </w:p>
    <w:p>
      <w:pPr>
        <w:pStyle w:val="Heading2"/>
        <w:spacing w:before="200" w:after="200" w:line="360"/>
      </w:pPr>
      <w:r>
        <w:t xml:space="preserve">Stage 4: Biological Pathway &amp; Disease Context Enrichment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For top-ranked similar genes, assess shared biological pathways (e.g., mTOR signaling in TSC2), disease associations, and protein-protein interactions. Contextualize EP similarity in known biology to increase confidence and interpretability.</w:t>
      </w:r>
    </w:p>
    <w:p>
      <w:pPr>
        <w:spacing w:after="100" w:line="36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Top-ranked gene list (e.g., top 50 from Stage 3)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TSC2 biological context: known pathways, disease associations</w:t>
      </w:r>
    </w:p>
    <w:p>
      <w:pPr>
        <w:spacing w:after="100" w:line="36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 (Kyoto Encyclopedia of Genes and Genomes) — </w:t>
      </w:r>
      <w:r>
        <w:rPr>
          <w:rFonts w:ascii="Arial" w:cs="Arial" w:eastAsia="Arial" w:hAnsi="Arial"/>
          <w:sz w:val="24"/>
          <w:szCs w:val="24"/>
        </w:rPr>
        <w:t xml:space="preserve">pathway membership, mTOR/TSC2 pathway annotations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 — </w:t>
      </w:r>
      <w:r>
        <w:rPr>
          <w:rFonts w:ascii="Arial" w:cs="Arial" w:eastAsia="Arial" w:hAnsi="Arial"/>
          <w:sz w:val="24"/>
          <w:szCs w:val="24"/>
        </w:rPr>
        <w:t xml:space="preserve">curated pathway database for human reactions and complexes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 (Search Tool for the Retrieval of Interacting Genes/Proteins) — </w:t>
      </w:r>
      <w:r>
        <w:rPr>
          <w:rFonts w:ascii="Arial" w:cs="Arial" w:eastAsia="Arial" w:hAnsi="Arial"/>
          <w:sz w:val="24"/>
          <w:szCs w:val="24"/>
        </w:rPr>
        <w:t xml:space="preserve">protein-protein interaction networks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(GO) — </w:t>
      </w:r>
      <w:r>
        <w:rPr>
          <w:rFonts w:ascii="Arial" w:cs="Arial" w:eastAsia="Arial" w:hAnsi="Arial"/>
          <w:sz w:val="24"/>
          <w:szCs w:val="24"/>
        </w:rPr>
        <w:t xml:space="preserve">functional annotations: biological process, molecular function, cellular component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DisGeNET — </w:t>
      </w:r>
      <w:r>
        <w:rPr>
          <w:rFonts w:ascii="Arial" w:cs="Arial" w:eastAsia="Arial" w:hAnsi="Arial"/>
          <w:sz w:val="24"/>
          <w:szCs w:val="24"/>
        </w:rPr>
        <w:t xml:space="preserve">gene-disease associations, disease relevance scores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 (Online Mendelian Inheritance in Man) — </w:t>
      </w:r>
      <w:r>
        <w:rPr>
          <w:rFonts w:ascii="Arial" w:cs="Arial" w:eastAsia="Arial" w:hAnsi="Arial"/>
          <w:sz w:val="24"/>
          <w:szCs w:val="24"/>
        </w:rPr>
        <w:t xml:space="preserve">disease phenotypes and genetic associations</w:t>
      </w:r>
    </w:p>
    <w:p>
      <w:pPr>
        <w:spacing w:after="100" w:line="36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Which top-ranked genes share mTOR/TSC2 pathway membership with TSC2?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Are tuberous sclerosis complex (TSC) disease genes enriched in EP-similar gene set?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Do top candidates interact directly or indirectly with TSC2 protein?</w:t>
      </w:r>
    </w:p>
    <w:p>
      <w:pPr>
        <w:spacing w:after="100" w:line="36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Pathway enrichment summary for similar gene set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Per-gene biological context: pathways, GO terms, PPI neighbors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Disease association scores and relevance to TSC phenotypes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Confidence boost flags: genes with strong biological linkage to TSC2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JSON/TSV with columns: gene_id | pathways | go_terms | ppi_neighbors | disease_assoc | confidence_boost</w:t>
      </w:r>
    </w:p>
    <w:p>
      <w:pPr>
        <w:pStyle w:val="Heading2"/>
        <w:spacing w:before="200" w:after="200" w:line="360"/>
      </w:pPr>
      <w:r>
        <w:t xml:space="preserve">Stage 5: Therapeutic Implication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whether genes with similar EP signatures to TSC2 suggest shared therapeutic vulnerabilities, drug repurposing opportunities, or common modality strategies (ASO, small molecule, PROTAC). Link EP phenotypes to therapeutic actionability.</w:t>
      </w:r>
    </w:p>
    <w:p>
      <w:pPr>
        <w:spacing w:after="100" w:line="36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Ranked gene list with biological enrichment (from Stage 4)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TSC2 drug/compound sensitivity data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Therapeutic modality landscape for similar genes</w:t>
      </w:r>
    </w:p>
    <w:p>
      <w:pPr>
        <w:spacing w:after="100" w:line="36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DrugBank — </w:t>
      </w:r>
      <w:r>
        <w:rPr>
          <w:rFonts w:ascii="Arial" w:cs="Arial" w:eastAsia="Arial" w:hAnsi="Arial"/>
          <w:sz w:val="24"/>
          <w:szCs w:val="24"/>
        </w:rPr>
        <w:t xml:space="preserve">drug targets, indication, clinical status for genes in candidate set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ChEMBL — </w:t>
      </w:r>
      <w:r>
        <w:rPr>
          <w:rFonts w:ascii="Arial" w:cs="Arial" w:eastAsia="Arial" w:hAnsi="Arial"/>
          <w:sz w:val="24"/>
          <w:szCs w:val="24"/>
        </w:rPr>
        <w:t xml:space="preserve">bioassay data, compounds targeting similar gene set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 — </w:t>
      </w:r>
      <w:r>
        <w:rPr>
          <w:rFonts w:ascii="Arial" w:cs="Arial" w:eastAsia="Arial" w:hAnsi="Arial"/>
          <w:sz w:val="24"/>
          <w:szCs w:val="24"/>
        </w:rPr>
        <w:t xml:space="preserve">active or completed trials targeting candidate genes or TSC-related indications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Compound Atlas — </w:t>
      </w:r>
      <w:r>
        <w:rPr>
          <w:rFonts w:ascii="Arial" w:cs="Arial" w:eastAsia="Arial" w:hAnsi="Arial"/>
          <w:sz w:val="24"/>
          <w:szCs w:val="24"/>
        </w:rPr>
        <w:t xml:space="preserve">EP response profiles for compounds targeting similar genes</w:t>
      </w:r>
    </w:p>
    <w:p>
      <w:pPr>
        <w:spacing w:after="100" w:line="36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Are TSC pathway inhibitors or mTOR inhibitors efficacious on EP-similar gene perturbations?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compounds in ChEMBL target genes with similar EP profiles to TSC2?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Are any clinical trials active for therapeutic targeting of similar gene set?</w:t>
      </w:r>
    </w:p>
    <w:p>
      <w:pPr>
        <w:spacing w:after="100" w:line="36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Therapeutic modality summary: small molecule, ASO, PROTAC, antibody, etc.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Druggability assessment per candidate gene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Drug repurposing opportunities: known compounds with potential off-target activity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Clinical trial landscape for TSC and related neurological indications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EP sensitivity data for lead compounds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with columns: gene_id | modalities | druggability_score | repurposing_compounds | clinical_trials | compound_ep_response</w:t>
      </w:r>
    </w:p>
    <w:p>
      <w:pPr>
        <w:pStyle w:val="Heading2"/>
        <w:spacing w:before="200" w:after="200" w:line="360"/>
      </w:pPr>
      <w:r>
        <w:t xml:space="preserve">Stage 6: Confidence Scoring &amp; Validation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Assign confidence levels to similarity rankings, integrate multiple evidence types (EP, pathway, disease, therapeutic), and recommend orthogonal validation experiments to confirm true EP similarity and biological relevance.</w:t>
      </w:r>
    </w:p>
    <w:p>
      <w:pPr>
        <w:spacing w:after="100" w:line="36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Ranked gene list with all enrichment layers (Stages 3–5)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Statistical test results and p-values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Cross-validation or hold-out test set performance metrics</w:t>
      </w:r>
    </w:p>
    <w:p>
      <w:pPr>
        <w:spacing w:after="100" w:line="36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 — </w:t>
      </w:r>
      <w:r>
        <w:rPr>
          <w:rFonts w:ascii="Arial" w:cs="Arial" w:eastAsia="Arial" w:hAnsi="Arial"/>
          <w:sz w:val="24"/>
          <w:szCs w:val="24"/>
        </w:rPr>
        <w:t xml:space="preserve">integrated confidence metric: ep_similarity + pathway_evidence + disease_evidence + druggability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scipy.stats (permutation tests) — </w:t>
      </w:r>
      <w:r>
        <w:rPr>
          <w:rFonts w:ascii="Arial" w:cs="Arial" w:eastAsia="Arial" w:hAnsi="Arial"/>
          <w:sz w:val="24"/>
          <w:szCs w:val="24"/>
        </w:rPr>
        <w:t xml:space="preserve">null distribution of similarity scores, empirical p-values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Statsmodels (FDR correction) — </w:t>
      </w:r>
      <w:r>
        <w:rPr>
          <w:rFonts w:ascii="Arial" w:cs="Arial" w:eastAsia="Arial" w:hAnsi="Arial"/>
          <w:sz w:val="24"/>
          <w:szCs w:val="24"/>
        </w:rPr>
        <w:t xml:space="preserve">multiple testing correction (Benjamini-Hochberg), adjusted q-values</w:t>
      </w:r>
    </w:p>
    <w:p>
      <w:pPr>
        <w:spacing w:after="100" w:line="36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is the confidence score for each top-ranked gene?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Which genes rank in the high-confidence tier (q &lt; 0.05)?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What independent experiments would validate EP similarity?</w:t>
      </w:r>
    </w:p>
    <w:p>
      <w:pPr>
        <w:spacing w:after="100" w:line="36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Confidence-tiered ranking: high (q &lt; 0.05), medium (0.05 &lt; q &lt; 0.20), exploratory (q &gt; 0.20)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Composite confidence score per gene (0–100 scale)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Recommended validation experiments: patch-clamp, multi-electrode array (MEA), calcium imaging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Validation protocol suggestions: cell types, measurement conditions, positive/negative controls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JSON/TSV: gene_id | composite_confidence | confidence_tier | validation_priority | experiment_recommendations</w:t>
      </w:r>
    </w:p>
    <w:p>
      <w:pPr>
        <w:pStyle w:val="Heading2"/>
        <w:spacing w:before="200" w:after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Quiver CRISPR EP Atlas — comprehensive CRISPR perturbation electrophysiology data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Quiver EP Feature Extraction Pipeline — automated EP feature computation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Quiver EP Similarity Engine — optimized pairwise similarity computation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Quiver Confidence Scoring — integrated multi-evidence confidence metric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Quiver Compound Atlas — EP response profiles for therapeutic compounds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scikit-learn (PCA, UMAP) — dimensionality reduction and visualization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scipy (spatial distance, stats) — distance metrics and permutation testing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KEGG — pathway annotations and mTOR/TSC2 signaling context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Reactome — curated pathway database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STRING — protein-protein interaction networks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Gene Ontology (GO) — functional annotations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DisGeNET — gene-disease associations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OMIM — human disease genetics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DrugBank — drug targets and clinical information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ChEMBL — bioassay data and small molecule compounds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ClinicalTrials.gov — clinical trial registry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Statsmodels — statistical testing and FDR correction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2026-02-18T21:22:01.084Z</dcterms:created>
  <dcterms:modified xsi:type="dcterms:W3CDTF">2026-02-18T21:22:01.085Z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