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Prompt: "Which gene perturbations are anti-podal to TSC1/TSC2 based on their EP profiles/signatures?"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identifies gene perturbations whose EP (Expression/Perturbation) signatures are maximally anti-correlated or inversely similar to TSC1/TSC2 reference profiles. Anti-podal genes represent functionally opposing biology — genes whose loss or gain produces phenotypes opposite to TSC1/TSC2 loss. These genes are candidates for counter-regulatory therapeutic intervention in TSC diseases.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The pipeline progresses through six sequential stages: (1) extracting the TSC1/TSC2 reference EP profile, (2) computing anti-correlation metrics across all genes, (3) visualizing anti-podal relationships in feature space, (4) annotating biological pathways of anti-podal genes, (5) evaluating therapeutic target potential, and (6) designing validation strategies with confidence assessment.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TSC1/TSC2 Reference EP Profile Extraction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Extract, normalize, and combine TSC1 and TSC2 individual EP signatures into a unified reference vector that defines the TSC1/TSC2 EP phenotype against which all other genes will be compared for anti-podal similarity.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CRISPR EP Atlas database with TSC1 and TSC2 perturbation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Raw EP signatures (gene expression changes, pathway activation profiles, phenotypic readouts)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Metadata: cell type, perturbation conditions, timepoints, batch information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CRISPR EP Atlas: </w:t>
      </w:r>
      <w:r>
        <w:rPr>
          <w:rFonts w:ascii="Arial" w:cs="Arial" w:eastAsia="Arial" w:hAnsi="Arial"/>
          <w:sz w:val="24"/>
          <w:szCs w:val="24"/>
        </w:rPr>
        <w:t xml:space="preserve">Query and retrieve TSC1/TSC2 perturbation profiles across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EP Feature Extraction Pipeline: </w:t>
      </w:r>
      <w:r>
        <w:rPr>
          <w:rFonts w:ascii="Arial" w:cs="Arial" w:eastAsia="Arial" w:hAnsi="Arial"/>
          <w:sz w:val="24"/>
          <w:szCs w:val="24"/>
        </w:rPr>
        <w:t xml:space="preserve">Normalize, batch-correct, and standardize EP signatures to comparable feature vectors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scikit-learn / pandas: </w:t>
      </w:r>
      <w:r>
        <w:rPr>
          <w:rFonts w:ascii="Arial" w:cs="Arial" w:eastAsia="Arial" w:hAnsi="Arial"/>
          <w:sz w:val="24"/>
          <w:szCs w:val="24"/>
        </w:rPr>
        <w:t xml:space="preserve">Statistical summarization and combination of multi-condition profiles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"What are the complete EP signatures for TSC1 and TSC2 knockout in the Quiver Atlas?"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"Normalize and average TSC1 and TSC2 signatures across multiple cell types and timepoints."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"Generate a composite TSC1/TSC2 reference vector with confidence intervals."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Normalized TSC1/TSC2 composite EP signature vector (numeric array, ~1,000–10,000 features)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metadata (gene names, pathway associations, functional annotations)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correction and normalization parameters for reproducibility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metrics (variance explained, effect size, statistical power)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HDF5, JSON, or CSV with tabular format (rows = features, columns = TSC1/TSC2 composite scores). Include metadata JSON document with normalization parameters and QC metrics.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Anti-Correlation &amp; Inverse Similarity Computation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Compute multiple inverse similarity metrics between every gene's EP signature and the TSC1/TSC2 reference vector. Rank all genes by anti-podal score, identifying those whose perturbation produces opposite phenotypes. Use statistical significance testing to filter spurious hits.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TSC1/TSC2 composite reference vector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Complete Quiver CRISPR EP Atlas (all gene perturbation signatures across all conditions)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parameters: significance threshold (p &lt; 0.05), effect size cutoffs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EP Similarity Engine (inverse mode): </w:t>
      </w:r>
      <w:r>
        <w:rPr>
          <w:rFonts w:ascii="Arial" w:cs="Arial" w:eastAsia="Arial" w:hAnsi="Arial"/>
          <w:sz w:val="24"/>
          <w:szCs w:val="24"/>
        </w:rPr>
        <w:t xml:space="preserve">Compute negative Pearson correlation, anti-cosine similarity, and anti-Euclidean distance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scipy / numpy: </w:t>
      </w:r>
      <w:r>
        <w:rPr>
          <w:rFonts w:ascii="Arial" w:cs="Arial" w:eastAsia="Arial" w:hAnsi="Arial"/>
          <w:sz w:val="24"/>
          <w:szCs w:val="24"/>
        </w:rPr>
        <w:t xml:space="preserve">Calculate correlation coefficients, cosine similarity, and distance metrics; perform rank aggregation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Statistical Testing (scipy.stats): </w:t>
      </w:r>
      <w:r>
        <w:rPr>
          <w:rFonts w:ascii="Arial" w:cs="Arial" w:eastAsia="Arial" w:hAnsi="Arial"/>
          <w:sz w:val="24"/>
          <w:szCs w:val="24"/>
        </w:rPr>
        <w:t xml:space="preserve">Compute p-values, multiple testing correction (FDR), generate confidence intervals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"Compute the negative Pearson correlation between TSC1/TSC2 and all genes in the EP Atlas."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"Rank genes by anti-cosine similarity (inverse similarity) to the TSC1/TSC2 signature."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"Apply Benjamini-Hochberg correction and filter anti-podal genes at FDR &lt; 0.05."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"Generate a composite anti-podal score aggregating Pearson, cosine, and Euclidean distance ranks."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all genes with anti-podal scores (Pearson, cosine, Euclidean, composite)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P-values and FDR-adjusted significance levels for each anti-podal gene pair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100–500 candidate anti-podal genes filtered at FDR &lt; 0.05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intervals and effect size estimates per gene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CSV/TSV table with columns: Gene, Pearson_Correlation, Cosine_Similarity, Euclidean_Distance, Composite_Anti_Podal_Score, P_Value, FDR_Q_Value, Effect_Size, Confidence_Interval_95pct.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EP Feature Space Visualization &amp; Anti-Podal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Visualize TSC1/TSC2 and top anti-podal genes in reduced dimensionality EP feature space. Assess whether anti-podal genes cluster together (coherent opposing pathway) or scatter (diverse mechanisms). Identify functional gene modules and co-regulation patterns.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TSC1/TSC2 reference vector and ranked anti-podal gene list from Stage 2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Complete EP signatures for top ~200 anti-podal candidates and control genes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functional annotations and pathway membership data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PCA (scikit-learn): </w:t>
      </w:r>
      <w:r>
        <w:rPr>
          <w:rFonts w:ascii="Arial" w:cs="Arial" w:eastAsia="Arial" w:hAnsi="Arial"/>
          <w:sz w:val="24"/>
          <w:szCs w:val="24"/>
        </w:rPr>
        <w:t xml:space="preserve">Reduce high-dimensional EP signatures to 2–3 principal components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UMAP / t-SNE (umap-learn, scikit-learn): </w:t>
      </w:r>
      <w:r>
        <w:rPr>
          <w:rFonts w:ascii="Arial" w:cs="Arial" w:eastAsia="Arial" w:hAnsi="Arial"/>
          <w:sz w:val="24"/>
          <w:szCs w:val="24"/>
        </w:rPr>
        <w:t xml:space="preserve">Non-linear dimensionality reduction preserving local and global structure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K-means clustering (scikit-learn): </w:t>
      </w:r>
      <w:r>
        <w:rPr>
          <w:rFonts w:ascii="Arial" w:cs="Arial" w:eastAsia="Arial" w:hAnsi="Arial"/>
          <w:sz w:val="24"/>
          <w:szCs w:val="24"/>
        </w:rPr>
        <w:t xml:space="preserve">Identify and group anti-podal genes by similarity, determine coherent functional modules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matplotlib / Plotly / D3.js: </w:t>
      </w:r>
      <w:r>
        <w:rPr>
          <w:rFonts w:ascii="Arial" w:cs="Arial" w:eastAsia="Arial" w:hAnsi="Arial"/>
          <w:sz w:val="24"/>
          <w:szCs w:val="24"/>
        </w:rPr>
        <w:t xml:space="preserve">Interactive and static visualization; highlight TSC1/TSC2 and top hits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"Project TSC1/TSC2 and top 100 anti-podal genes into PCA space and visualize."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"Create UMAP plots showing anti-podal gene clustering and functional neighborhoods."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"Apply k-means to partition anti-podal genes into 3–5 functional modules."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"Generate an interactive D3.js visualization with gene names, anti-podal scores, and hover annotations."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PCA scatter plots (PC1 vs PC2, PC1 vs PC3) with TSC1/TSC2 and top anti-podal genes highlighted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UMAP and t-SNE embeddings showing anti-podal gene landscape and clustering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K-means cluster assignments with cluster-specific functional enrichment summaries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Interactive HTML/D3.js visualization with gene metadata and anti-podal score color-coding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High-resolution PNG/PDF plots (300 dpi) and interactive HTML5 visualizations. CSV files with PCA/UMAP coordinates and cluster assignments.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Pathway &amp; Functional Annotation of Anti-Podal Genes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Determine the biological pathways and functions of anti-podal genes. Test whether they represent known counter-regulatory mechanisms to mTOR/TSC signaling (e.g., AMPK activation, autophagy, growth inhibition, metabolic suppression). Annotate disease associations and mechanistic insights.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100–500 anti-podal genes from Stage 2 with anti-podal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annotation databases: NCBI Gene, Entrez, Ensembl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knowledge of TSC1/TSC2 biology and mTOR signaling pathway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KEGG (Kyoto Encyclopedia of Genes and Genomes): </w:t>
      </w:r>
      <w:r>
        <w:rPr>
          <w:rFonts w:ascii="Arial" w:cs="Arial" w:eastAsia="Arial" w:hAnsi="Arial"/>
          <w:sz w:val="24"/>
          <w:szCs w:val="24"/>
        </w:rPr>
        <w:t xml:space="preserve">Pathway mapping, identify anti-podal genes in mTOR, autophagy, AMPK pathways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Reactome: </w:t>
      </w:r>
      <w:r>
        <w:rPr>
          <w:rFonts w:ascii="Arial" w:cs="Arial" w:eastAsia="Arial" w:hAnsi="Arial"/>
          <w:sz w:val="24"/>
          <w:szCs w:val="24"/>
        </w:rPr>
        <w:t xml:space="preserve">Map genes to curated biological pathways and reactions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STRING (Search Tool for the Retrieval of Interacting Genes): </w:t>
      </w:r>
      <w:r>
        <w:rPr>
          <w:rFonts w:ascii="Arial" w:cs="Arial" w:eastAsia="Arial" w:hAnsi="Arial"/>
          <w:sz w:val="24"/>
          <w:szCs w:val="24"/>
        </w:rPr>
        <w:t xml:space="preserve">Protein–protein interaction networks; identify functional neighborhoods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Gene Ontology (GO) Enrichment (gseapy, WebGestalt): </w:t>
      </w:r>
      <w:r>
        <w:rPr>
          <w:rFonts w:ascii="Arial" w:cs="Arial" w:eastAsia="Arial" w:hAnsi="Arial"/>
          <w:sz w:val="24"/>
          <w:szCs w:val="24"/>
        </w:rPr>
        <w:t xml:space="preserve">Identify overrepresented biological processes, molecular functions, cellular components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DisGeNET: </w:t>
      </w:r>
      <w:r>
        <w:rPr>
          <w:rFonts w:ascii="Arial" w:cs="Arial" w:eastAsia="Arial" w:hAnsi="Arial"/>
          <w:sz w:val="24"/>
          <w:szCs w:val="24"/>
        </w:rPr>
        <w:t xml:space="preserve">Retrieve disease-gene associations and phenotypes; assess therapeutic relevance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"Map top 100 anti-podal genes to KEGG pathways; identify enrichment in mTOR-opposing pathways (AMPK, autophagy)."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"Perform GO enrichment analysis on anti-podal genes; identify overrepresented biological processes."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"Extract protein–protein interaction networks from STRING for anti-podal genes and TSC1/TSC2."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"Query DisGeNET for disease associations and phenotypes linked to anti-podal genes."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annotation table: gene, anti-podal score, KEGG pathway(s), Reactome pathway(s), GO terms, STRING interactions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Enrichment analysis results: overrepresented pathways, processes, and gene ontology categories with p-values and FDR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Protein–protein interaction networks highlighting TSC1/TSC2, anti-podal genes, and functional neighbors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association report: phenotypes, known disorders, and translational relevance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Comprehensive CSV/TSV annotation table; pathway network diagrams (PDF/PNG); enrichment report (PDF or HTML with statistical tables).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Therapeutic Target Evaluation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whether anti-podal genes or their pathways represent druggable therapeutic targets for TSC disease management. Determine if activating/inhibiting anti-podal genes could rescue TSC phenotypes. Identify existing and potential drugs, clinical trials, and translational pathways.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Anti-podal gene list with functional annotations from Stage 4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TSC1/TSC2 phenotypic readouts and disease manifestations (growth, metabolism, autophagy, tumor formation)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mechanistic and clinical literature on TSC and anti-podal gene function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DrugBank: </w:t>
      </w:r>
      <w:r>
        <w:rPr>
          <w:rFonts w:ascii="Arial" w:cs="Arial" w:eastAsia="Arial" w:hAnsi="Arial"/>
          <w:sz w:val="24"/>
          <w:szCs w:val="24"/>
        </w:rPr>
        <w:t xml:space="preserve">Identify approved and experimental drugs targeting anti-podal genes or their pathway products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ChEMBL: </w:t>
      </w:r>
      <w:r>
        <w:rPr>
          <w:rFonts w:ascii="Arial" w:cs="Arial" w:eastAsia="Arial" w:hAnsi="Arial"/>
          <w:sz w:val="24"/>
          <w:szCs w:val="24"/>
        </w:rPr>
        <w:t xml:space="preserve">Retrieve bioactive compounds and molecular target data; assess inhibitor/activator availability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Compound Atlas: </w:t>
      </w:r>
      <w:r>
        <w:rPr>
          <w:rFonts w:ascii="Arial" w:cs="Arial" w:eastAsia="Arial" w:hAnsi="Arial"/>
          <w:sz w:val="24"/>
          <w:szCs w:val="24"/>
        </w:rPr>
        <w:t xml:space="preserve">Screen compound perturbations against anti-podal genes; identify phenotype-reversing molecules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ClinicalTrials.gov: </w:t>
      </w:r>
      <w:r>
        <w:rPr>
          <w:rFonts w:ascii="Arial" w:cs="Arial" w:eastAsia="Arial" w:hAnsi="Arial"/>
          <w:sz w:val="24"/>
          <w:szCs w:val="24"/>
        </w:rPr>
        <w:t xml:space="preserve">Search for ongoing and completed clinical trials in TSC, identify relevant therapeutic strategies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PubMed: </w:t>
      </w:r>
      <w:r>
        <w:rPr>
          <w:rFonts w:ascii="Arial" w:cs="Arial" w:eastAsia="Arial" w:hAnsi="Arial"/>
          <w:sz w:val="24"/>
          <w:szCs w:val="24"/>
        </w:rPr>
        <w:t xml:space="preserve">Curate and rank literature on anti-podal gene biology, TSC phenotype rescue, and therapeutic potential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"Search DrugBank for FDA-approved drugs targeting top 20 anti-podal genes."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"Query Quiver Compound Atlas: do compounds that activate AMPK-pathway genes reverse TSC1 knockout phenotypes?"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"Search ClinicalTrials.gov for TSC-focused trials; identify approved drugs that target anti-podal pathways."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"Retrieve PubMed citations describing TSC phenotype rescue via anti-podal gene pathway activation."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Druggability assessment table: anti-podal gene, drug targets, approved drugs, clinical trial status, evidence level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hypothesis report: TSC phenotype, hypothesized rescue mechanism, evidence, confidence score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screen results: compounds targeting anti-podal genes, effect on TSC phenotypes, potency/selectivity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summary: ranked publications describing anti-podal gene biology and TSC relevance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Comprehensive therapeutic target report (PDF or HTML) with druggability table, compound screens, clinical trial summary, and ranked literature references with DOI/PubMed links.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Validation Strategy &amp; Confidence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experimental validation strategies to confirm anti-podal relationships in vitro and in vivo. Assign quantitative confidence scores to each anti-podal candidate based on EP statistical strength, functional coherence, druggability, and literature support. Prioritize candidates for follow-up studies.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Complete anti-podal analysis from Stages 1–5: rankings, pathways, therapeutic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confidence metrics: p-values, effect sizes, confidence intervals from Stage 2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Expertise/prior knowledge: Sapphire team specifications for experimental design and validation protocols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EP Validation Protocols: </w:t>
      </w:r>
      <w:r>
        <w:rPr>
          <w:rFonts w:ascii="Arial" w:cs="Arial" w:eastAsia="Arial" w:hAnsi="Arial"/>
          <w:sz w:val="24"/>
          <w:szCs w:val="24"/>
        </w:rPr>
        <w:t xml:space="preserve">Standard perturbation, phenotyping, and rescue assays; multi-condition, multi-timepoint experiments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Confidence Scoring System: </w:t>
      </w:r>
      <w:r>
        <w:rPr>
          <w:rFonts w:ascii="Arial" w:cs="Arial" w:eastAsia="Arial" w:hAnsi="Arial"/>
          <w:sz w:val="24"/>
          <w:szCs w:val="24"/>
        </w:rPr>
        <w:t xml:space="preserve">Weighted integration of EP statistics, functional consistency, druggability, literature support, and feasibility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Combinatorial Perturbation Experiments (CRISPRoff, CRISPRon, compound combinations): </w:t>
      </w:r>
      <w:r>
        <w:rPr>
          <w:rFonts w:ascii="Arial" w:cs="Arial" w:eastAsia="Arial" w:hAnsi="Arial"/>
          <w:sz w:val="24"/>
          <w:szCs w:val="24"/>
        </w:rPr>
        <w:t xml:space="preserve">Co-perturb TSC1/TSC2 with anti-podal genes to test phenotypic rescue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"Design a combinatorial perturbation experiment to validate that knocking out anti-podal gene X rescues TSC1/TSC2 loss phenotypes."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"Assign confidence scores (0–100) to top 20 anti-podal genes using Sapphire Confidence Scoring; integrate EP statistics, pathway coherence, druggability, and literature evidence."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"Rank anti-podal candidates by clinical translational potential (approved drug availability, trial status, safety profile)."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"Propose in vivo validation studies: animal models, phenotypic readouts, timelines for each priority candidate."</w:t>
      </w:r>
    </w:p>
    <w:p>
      <w:pPr>
        <w:spacing w:before="0"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Confidence-ranked anti-podal candidate list with scores (0–100 scale); scoring breakdown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protocol document: combinatorial perturbation designs, assay endpoints, cell types, timepoints, replicates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 vivo validation roadmap: animal models, phenotypic readouts, projected timelines, resource requirements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summary: top 5–10 priority anti-podal candidates with rationale, validation approach, and confidence level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Multi-section validation report (PDF/HTML): confidence scoring methodology, ranked candidate table, detailed protocols, timeline projections, and executive summary with figures.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CRISPR EP Atlas — Comprehensive gene perturbation profiles and phenotypic readouts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Feature Extraction Pipeline — Normalization, batch correction, feature engineering for EP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Similarity Engine — Compute inverse similarity metrics (Pearson, cosine, Euclidean) with statistical testing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scipy / numpy — Scientific computing, statistical analysis, numerical operations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scikit-learn — Machine learning: PCA, k-means clustering, dimensionality reduction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UMAP / t-SNE — Non-linear dimensionality reduction and visualization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matplotlib / Plotly / D3.js — Data visualization and interactive graphics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KEGG (Kyoto Encyclopedia of Genes and Genomes) — Pathway and genome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— Curated biological pathway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— Protein–protein interaction networks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Ontology (GO) — Gene annotation and functional enrichment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 — Disease-gene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 — Drug–target interactions and FDA approvals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ChEMBL — Bioactive compounds and molecular target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Compound Atlas — Phenotypic effects of chemical perturbations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ClinicalTrials.gov — Clinical trial database and therapeutic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 — Literature indexing and citation retrieval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Sapphire Confidence Scoring System — Integrated ranking framework for candidate prioritization</w:t>
      </w:r>
    </w:p>
    <w:p>
      <w:pPr>
        <w:pStyle w:val="ListParagraph"/>
        <w:numPr>
          <w:ilvl w:val="0"/>
          <w:numId w:val="2"/>
        </w:num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Quiver EP Validation Protocols — Experimental assays and combinatorial perturbation designs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2026-02-18T21:29:28.456Z</dcterms:created>
  <dcterms:modified xsi:type="dcterms:W3CDTF">2026-02-18T21:29:28.457Z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