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013: E/I Balance CRISPR Hit Identification</w:t>
      </w:r>
    </w:p>
    <w:p>
      <w:pPr/>
      <w:r>
        <w:t>Identify CRISPR hits that normalize excitatory/inhibitory imbalance in human cortical neurons and overlap with schizophrenia GWAS loci.</w:t>
      </w:r>
    </w:p>
    <w:p>
      <w:pPr>
        <w:pStyle w:val="Heading2"/>
      </w:pPr>
      <w:r>
        <w:rPr>
          <w:b/>
          <w:sz w:val="56"/>
        </w:rPr>
        <w:t>Pipeline Overview</w:t>
      </w:r>
    </w:p>
    <w:p>
      <w:pPr/>
      <w:r>
        <w:t>Pipeline 013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