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014: SCN2A Gain-of-Function Epilepsy Targeting</w:t>
      </w:r>
    </w:p>
    <w:p>
      <w:pPr/>
      <w:r>
        <w:t>For SCN2A gain-of-function epilepsy, propose target suppression strategies ranked by predicted functional rescue and safety margin.</w:t>
      </w:r>
    </w:p>
    <w:p>
      <w:pPr>
        <w:pStyle w:val="Heading2"/>
      </w:pPr>
      <w:r>
        <w:rPr>
          <w:b/>
          <w:sz w:val="56"/>
        </w:rPr>
        <w:t>Pipeline Overview</w:t>
      </w:r>
    </w:p>
    <w:p>
      <w:pPr/>
      <w:r>
        <w:t>Pipeline 014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