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 w:line="360"/>
      </w:pPr>
      <w:r>
        <w:t xml:space="preserve">Sapphire Pipeline Workflow</w:t>
      </w:r>
    </w:p>
    <w:p>
      <w:pPr>
        <w:pStyle w:val="Heading2"/>
        <w:spacing w:before="200" w:after="200" w:line="360"/>
      </w:pPr>
      <w:r>
        <w:t xml:space="preserve">Prompt: "For SCN2A gain-of-function epilepsy, propose target suppression strategies ranked by predicted functional rescue and safety margin."</w:t>
      </w:r>
    </w:p>
    <w:p>
      <w:pPr>
        <w:spacing w:after="3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before="200" w:after="200" w:line="360"/>
      </w:pPr>
      <w:r>
        <w:t xml:space="preserve">Pipeline Overview</w:t>
      </w:r>
    </w:p>
    <w:p>
      <w:pPr>
        <w:spacing w:after="300" w:line="360"/>
      </w:pPr>
      <w:r>
        <w:t xml:space="preserve">This pipeline proposes and ranks suppression strategies for SCN2A gain-of-function (GoF) epilepsy, evaluating ASO (antisense oligonucleotide), small molecule, and other modalities. SCN2A encodes Nav1.2 sodium channel — GoF mutations cause early-onset developmental and epileptic encephalopathy (DEE) with persistent sodium current and neuronal hyperexcitability.</w:t>
      </w:r>
    </w:p>
    <w:p>
      <w:pPr>
        <w:spacing w:after="300" w:line="360"/>
      </w:pPr>
      <w:r>
        <w:t xml:space="preserve">The pipeline proceeds through six sequential stages: disease biology characterization, strategy enumeration, functional rescue prediction, safety margin assessment, composite ranking, and validation planning. Each stage is defined by its purpose, inputs, tools and databases called, exemplary sub-prompts, expected outputs, and output format.</w:t>
      </w:r>
    </w:p>
    <w:p>
      <w:pPr>
        <w:pStyle w:val="Heading2"/>
        <w:spacing w:before="200" w:after="200" w:line="360"/>
      </w:pPr>
      <w:r>
        <w:t xml:space="preserve">Stage 1: SCN2A GoF Disease Biology Characterization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Define the SCN2A GoF epilepsy disease biology, including specific pathogenic mutations, their electrophysiological phenotypes, affected patient populations, and current standard-of-care treatments.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Patient cohort definition and demographic characteristics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Known SCN2A pathogenic variants (e.g., R1882Q, K1422E, R102W)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Clinical phenotype descriptions (seizure type, age of onset, treatment response)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Existing electrophysiology and patch-clamp studies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ClinVar</w:t>
      </w:r>
      <w:r>
        <w:t xml:space="preserve"> — Curated database of pathogenic variants and their phenotypes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OMIM</w:t>
      </w:r>
      <w:r>
        <w:t xml:space="preserve"> — Online Mendelian Inheritance in Man; disease and gene descriptions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PubMed</w:t>
      </w:r>
      <w:r>
        <w:t xml:space="preserve"> — Literature search for SCN2A electrophysiology and clinical outcomes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Quiver CRISPR EP Atlas</w:t>
      </w:r>
      <w:r>
        <w:t xml:space="preserve"> — Perturbation data for SCN2A and related genes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are the top SCN2A mutations causing GoF epilepsy and their frequency?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are the characteristic electrophysiological features (persistent current, hyperexcitability) of SCN2A GoF variants?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current standard of care for SCN2A GoF epilepsy and what are treatment gaps?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demographic distribution of SCN2A GoF epilepsy cases globally?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Comprehensive list of SCN2A GoF mutations with functional annotations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Summary of persistent sodium current magnitude and neuronal hyperexcitability severity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Patient cohort characteristics (age, ethnicity, seizure phenotypes)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Current treatment landscape (antiseizure medications, success rates, unmet needs)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Structured table or narrative summary describing mutations, electrophysiological phenotypes, clinical manifestations, and current treatment options.</w:t>
      </w:r>
    </w:p>
    <w:p>
      <w:pPr>
        <w:pStyle w:val="Heading2"/>
        <w:spacing w:before="200" w:after="200" w:line="360"/>
      </w:pPr>
      <w:r>
        <w:t xml:space="preserve">Stage 2: Suppression Strategy Enumeration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Enumerate all potentially viable suppression strategies for SCN2A GoF, spanning gene therapy (allele-selective and pan-suppression), RNA-based therapeutics (ASO, exon-skipping), small molecules, and pathway modulation approaches.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SCN2A GoF biology and current unmet treatment needs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Existing gene therapy and RNA therapeutic literature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Available small molecule modulators of Nav1.2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Published ASO knockdown efficacy and off-target assessment data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Sapphire Strategy Enumeration Engine</w:t>
      </w:r>
      <w:r>
        <w:t xml:space="preserve"> — Generates candidate suppression modalities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DrugBank</w:t>
      </w:r>
      <w:r>
        <w:t xml:space="preserve"> — Existing Nav channel blockers and clinical precedent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ChEMBL</w:t>
      </w:r>
      <w:r>
        <w:t xml:space="preserve"> — Small molecule targeting Nav1.2 and related ion channels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Lens.org</w:t>
      </w:r>
      <w:r>
        <w:t xml:space="preserve"> — Patent landscape for ASO and gene therapy modalities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are all allele-selective and pan-suppression strategies for SCN2A?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Which existing Nav channel blockers have been tested in neuronal models or patients?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splice-modulating ASO approaches could target SCN2A?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Are there antisense oligonucleotides already in clinical development for Nav channelopathies?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Ranked list of suppression strategies: (1) allele-selective ASO, (2) pan-SCN2A ASO, (3) exon-skipping ASO, (4) small molecule blockers, (5) pathway modulation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For each strategy: mechanism of action, current development stage, and precedent in similar disorders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Patent and clinical trial landscape for each modality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Table listing each strategy with mechanism, development stage, and references; patent and clinical landscape summary.</w:t>
      </w:r>
    </w:p>
    <w:p>
      <w:pPr>
        <w:pStyle w:val="Heading2"/>
        <w:spacing w:before="200" w:after="200" w:line="360"/>
      </w:pPr>
      <w:r>
        <w:t xml:space="preserve">Stage 3: Functional Rescue Prediction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For each suppression strategy, predict the degree of electrophysiological and clinical phenotype rescue, using dose-response relationships, knockdown thresholds, and channel kinetics models.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List of candidate suppression strategies from Stage 2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SCN2A GoF electrophysiological parameters (persistent current, activation/inactivation kinetics)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Published ASO knockdown curves and dose-response data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Nav1.2 biophysical models and patch-clamp recordings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Quiver EP Dose-Response Module</w:t>
      </w:r>
      <w:r>
        <w:t xml:space="preserve"> — Models dose-response curves for channel suppression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Sapphire Threshold Model</w:t>
      </w:r>
      <w:r>
        <w:t xml:space="preserve"> — Calculates suppression threshold for functional rescue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Nav1.2 Biophysical Models</w:t>
      </w:r>
      <w:r>
        <w:t xml:space="preserve"> — Hodgkin-Huxley and published computational models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PubMed</w:t>
      </w:r>
      <w:r>
        <w:t xml:space="preserve"> — Published ASO knockdown efficacy data for similar ion channels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knockdown level (% target suppression) is required to normalize persistent sodium current in SCN2A GoF?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dose-response relationship for allele-selective ASO knockdown of the SCN2A GoF allele?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Can Nav1.2 channel blockers fully rescue hyperexcitability without off-target effects?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predicted functional rescue for 30%, 50%, and 70% knockdown scenarios?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Dose-response curves for each strategy, with predicted rescue at tiered suppression levels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Knockdown threshold estimates (% suppression needed for clinical benefit)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Predicted normalization of electrophysiological phenotype (persistent current, hyperexcitability)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Comparison of functional rescue potential across strategies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Dose-response curves (graphical and tabular), quantitative threshold estimates, functional rescue predictions per strategy.</w:t>
      </w:r>
    </w:p>
    <w:p>
      <w:pPr>
        <w:pStyle w:val="Heading2"/>
        <w:spacing w:before="200" w:after="200" w:line="360"/>
      </w:pPr>
      <w:r>
        <w:t xml:space="preserve">Stage 4: Safety Margin Assessment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Evaluate the safety profile of each strategy by assessing the risk of loss-of-function (LoF) phenotypes, calculating the therapeutic window, and comparing against SCN2A essentiality constraints.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Candidate suppression strategies and their dose-response relationships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SCN2A essentiality metrics and constraint scores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Published SCN2A haploinsufficiency and biallelic LoF phenotypes (autism, intellectual disability)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gnomAD constraint data and rare LoF variant frequencies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gnomAD</w:t>
      </w:r>
      <w:r>
        <w:t xml:space="preserve"> — Population genetics; SCN2A constraint and LoF intolerance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DepMap</w:t>
      </w:r>
      <w:r>
        <w:t xml:space="preserve"> — Gene essentiality and functional dependency data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Quiver EP Toxicity Atlas</w:t>
      </w:r>
      <w:r>
        <w:t xml:space="preserve"> — Off-target and toxicity assessment for channel suppression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ClinGen Dosage Sensitivity</w:t>
      </w:r>
      <w:r>
        <w:t xml:space="preserve"> — Clinical evidence for SCN2A dosage-related phenotypes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PubMed</w:t>
      </w:r>
      <w:r>
        <w:t xml:space="preserve"> — SCN2A LoF phenotype data and clinical case reports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critical suppression level at which SCN2A LoF phenotypes emerge (autism, intellectual disability)?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therapeutic window between GoF rescue and LoF emergence?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How does SCN2A constraint score compare to other essential neuronal genes?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predicted safety margin for allele-selective vs. pan-suppression strategies?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Safety margin estimates for each strategy (GoF rescue threshold vs. LoF emergence threshold)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Risk assessment: probability of LoF phenotype emergence at predicted therapeutic doses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Comparison of therapeutic windows across strategies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Recommendations for dose escalation and monitoring strategies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Safety profiles table, therapeutic window plots, risk assessments, and monitoring recommendations per strategy.</w:t>
      </w:r>
    </w:p>
    <w:p>
      <w:pPr>
        <w:pStyle w:val="Heading2"/>
        <w:spacing w:before="200" w:after="200" w:line="360"/>
      </w:pPr>
      <w:r>
        <w:t xml:space="preserve">Stage 5: Composite Ranking &amp; Strategy Prioritization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Integrate functional rescue predictions, safety margins, technical feasibility, IP landscape, and clinical development timelines to rank suppression strategies and identify the most promising candidates.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Functional rescue predictions (Stage 3 outputs)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Safety assessments and therapeutic window estimates (Stage 4 outputs)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Patent landscape and IP freedom-to-operate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Clinical trial precedent and development timelines for each modality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Technical feasibility (manufacturing, delivery, GMP scalability)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Sapphire Composite Scoring Engine</w:t>
      </w:r>
      <w:r>
        <w:t xml:space="preserve"> — Integrates multi-dimensional criteria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Lens.org</w:t>
      </w:r>
      <w:r>
        <w:t xml:space="preserve"> — Patent landscape and freedom-to-operate analysis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ClinicalTrials.gov</w:t>
      </w:r>
      <w:r>
        <w:t xml:space="preserve"> — Clinical development stage and trial timelines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FDA Guidance Documents</w:t>
      </w:r>
      <w:r>
        <w:t xml:space="preserve"> — Regulatory pathways for gene therapy and ASO drugs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Rank suppression strategies by composite score: (1) functional rescue, (2) safety margin, (3) technical feasibility, (4) IP landscape, (5) time to clinic.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patent landscape for allele-selective ASO targeting SCN2A?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regulatory pathway timeline for ASO vs. gene therapy for epilepsy?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Which strategies are most technically feasible for rapid development?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Ranked list of top 3–5 strategies with composite scores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Detailed rationale for ranking: rescue potential, safety margin, IP status, regulatory path, timeline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Patent landscape summary and freedom-to-operate assessment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Recommended prioritization for further development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Ranked table with composite scores, multi-dimensional comparison plots, IP landscape summary, regulatory timelines.</w:t>
      </w:r>
    </w:p>
    <w:p>
      <w:pPr>
        <w:pStyle w:val="Heading2"/>
        <w:spacing w:before="200" w:after="200" w:line="360"/>
      </w:pPr>
      <w:r>
        <w:t xml:space="preserve">Stage 6: Validation Plan &amp; Confidence Assessment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Design validation experiments for top-ranked strategies, assign confidence levels based on data quality and model robustness, and specify the evidence gaps that remain.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Top 3–5 ranked strategies from Stage 5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Existing functional data: electrophysiology, animal models, patient iPSC neurons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Gaps in evidence: off-target assessment, long-term safety, efficacy in disease models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Sapphire Confidence Scoring</w:t>
      </w:r>
      <w:r>
        <w:t xml:space="preserve"> — Assigns confidence levels to predictions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Quiver Validation Protocols</w:t>
      </w:r>
      <w:r>
        <w:t xml:space="preserve"> — Standard electrophysiology and toxicity assays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Published iPSC-Neuron Protocols</w:t>
      </w:r>
      <w:r>
        <w:t xml:space="preserve"> — Patient-derived neuronal models for disease validation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are the recommended validation experiments (patch-clamp, whole-cell recordings, iPSC neurons) for top-ranked strategies?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How should off-target effects be assessed for each modality?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confidence level in the functional rescue predictions for each strategy?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evidence gaps remain and how should they be addressed?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Validation plan: specific experiments, timelines, and success criteria for each top-ranked strategy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Confidence assessment: high/medium/low confidence for functional rescue and safety predictions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Evidence gaps and recommendations for filling them (e.g., animal models, long-term follow-up)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Decision tree for go/no-go progression to clinical development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Experimental design table, confidence scoring matrix, evidence gap summary, and go/no-go decision criteria.</w:t>
      </w:r>
    </w:p>
    <w:p>
      <w:pPr>
        <w:pStyle w:val="Heading2"/>
        <w:spacing w:before="200" w:after="200" w:line="360"/>
      </w:pPr>
      <w:r>
        <w:t xml:space="preserve">Tools &amp; Databases Summary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ClinVar</w:t>
      </w:r>
      <w:r>
        <w:t xml:space="preserve"> — Curated pathogenic variants and associated phenotypes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OMIM</w:t>
      </w:r>
      <w:r>
        <w:t xml:space="preserve"> — Gene and disease descriptions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PubMed</w:t>
      </w:r>
      <w:r>
        <w:t xml:space="preserve"> — Biomedical literature and clinical outcomes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Quiver CRISPR EP Atlas</w:t>
      </w:r>
      <w:r>
        <w:t xml:space="preserve"> — Perturbation data and electrophysiological effects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Quiver EP Dose-Response Module</w:t>
      </w:r>
      <w:r>
        <w:t xml:space="preserve"> — Dose-response modeling for channel suppression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Sapphire Threshold Model</w:t>
      </w:r>
      <w:r>
        <w:t xml:space="preserve"> — Suppression threshold calculations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Sapphire Strategy Enumeration Engine</w:t>
      </w:r>
      <w:r>
        <w:t xml:space="preserve"> — Candidate modality generation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DrugBank</w:t>
      </w:r>
      <w:r>
        <w:t xml:space="preserve"> — Existing drugs and clinical precedent for Nav blockers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ChEMBL</w:t>
      </w:r>
      <w:r>
        <w:t xml:space="preserve"> — Small molecule compounds targeting Nav channels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gnomAD</w:t>
      </w:r>
      <w:r>
        <w:t xml:space="preserve"> — Population constraint scores and LoF tolerance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DepMap</w:t>
      </w:r>
      <w:r>
        <w:t xml:space="preserve"> — Gene essentiality and functional dependencies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Quiver EP Toxicity Atlas</w:t>
      </w:r>
      <w:r>
        <w:t xml:space="preserve"> — Off-target and toxicity assessment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ClinGen Dosage Sensitivity</w:t>
      </w:r>
      <w:r>
        <w:t xml:space="preserve"> — Dosage-related clinical evidence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Sapphire Composite Scoring Engine</w:t>
      </w:r>
      <w:r>
        <w:t xml:space="preserve"> — Multi-dimensional ranking integration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Lens.org</w:t>
      </w:r>
      <w:r>
        <w:t xml:space="preserve"> — Patent landscape and IP analysis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ClinicalTrials.gov</w:t>
      </w:r>
      <w:r>
        <w:t xml:space="preserve"> — Clinical development stages and trial data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FDA Guidance Documents</w:t>
      </w:r>
      <w:r>
        <w:t xml:space="preserve"> — Regulatory pathways (gene therapy, ASO)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Sapphire Confidence Scoring</w:t>
      </w:r>
      <w:r>
        <w:t xml:space="preserve"> — Confidence level assignment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b/>
          <w:bCs/>
        </w:rPr>
        <w:t xml:space="preserve">Quiver Validation Protocols</w:t>
      </w:r>
      <w:r>
        <w:t xml:space="preserve"> — Standard experimental protocols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 w:line="36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 w:line="36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2026-02-19T01:00:16.800Z</dcterms:created>
  <dcterms:modified xsi:type="dcterms:W3CDTF">2026-02-19T01:00:16.800Z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