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240"/>
      </w:pPr>
      <w:r>
        <w:t xml:space="preserve">Sapphire Pipeline Workflow</w:t>
      </w:r>
    </w:p>
    <w:p>
      <w:pPr>
        <w:pStyle w:val="Heading2"/>
        <w:spacing w:before="240" w:after="240"/>
      </w:pPr>
      <w:r>
        <w:t xml:space="preserve">Prompt: "Map all genes functionally converging on the same Quiver embedding cluster as GRIN2B and identify which are more druggable."</w:t>
      </w:r>
    </w:p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pStyle w:val="Heading2"/>
        <w:spacing w:before="240" w:after="240"/>
      </w:pPr>
      <w:r>
        <w:t xml:space="preserve">Pipeline Overview</w:t>
      </w:r>
    </w:p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>This pipeline maps genes that cluster with GRIN2B in Quiver's EP embedding space, then assesses their druggability. GRIN2B encodes the GluN2B NMDA receptor subunit — genes in the same EP cluster likely share NMDA/glutamatergic signaling biology. The workflow proceeds through six sequential stages: (1) extraction and cluster identification, (2) functional characterization, (3) convergence validation, (4) druggability assessment across modalities, (5) competitive landscape analysis, and (6) composite scoring and prioritization.</w:t>
      </w:r>
    </w:p>
    <w:p>
      <w:pPr>
        <w:pStyle w:val="Heading2"/>
        <w:spacing w:before="240" w:after="240"/>
      </w:pPr>
      <w:r>
        <w:t xml:space="preserve">Stage 1: GRIN2B EP Embedding Extraction &amp; Cluster Identification</w:t>
      </w:r>
    </w:p>
    <w:p>
      <w:pPr>
        <w:spacing w:after="200" w:line="360"/>
        <w:ind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Extract GRIN2B's position in Quiver's EP embedding space (UMAP/PCA coordinates), identify the cluster it belongs to, enumerate all genes in that cluster.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GRIN2B genomic ID (ENSG00000273079 or equivalent)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Quiver CRISPR EP embedding matrix (all genes × embedding dimensions)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Clustering parameters (neighborhood radius, density thresholds)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CRISPR EP Atlas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Source of genome-wide essential &amp; perturbation phenotype embeddings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Embedding Module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Coordinate extraction and embedding lookup service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UMAP/PCA Dimensionality Reduction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Visualization and geometric proximity calculation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DBSCAN/HDBSCAN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Cluster assignment and density-based gene grouping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Retrieve GRIN2B's coordinates in Quiver EP embedding space.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Identify all genes within the 95th percentile nearest-neighbor distance of GRIN2B.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Assign cluster label and enumerate cluster membership.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Validate cluster stability across embedding resampling.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GRIN2B EP embedding coordinates (vector)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Cluster ID and cluster membership list (N genes)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Cluster centroid and within-cluster distance statistics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Gene-gene proximity matrix within cluster</w:t>
      </w:r>
    </w:p>
    <w:p>
      <w:pPr>
        <w:spacing w:after="200" w:line="360"/>
        <w:ind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TSV file with columns: GeneID, EnsemblID, EmbeddingX, EmbeddingY, EmbeddingZ, ClusterID, DistanceToGRIN2B</w:t>
      </w:r>
    </w:p>
    <w:p>
      <w:pPr>
        <w:pStyle w:val="Heading2"/>
        <w:spacing w:before="240" w:after="240"/>
      </w:pPr>
      <w:r>
        <w:t xml:space="preserve">Stage 2: Cluster Gene Characterization</w:t>
      </w:r>
    </w:p>
    <w:p>
      <w:pPr>
        <w:spacing w:after="200" w:line="360"/>
        <w:ind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For all genes in the GRIN2B cluster, retrieve biological annotations: protein function, pathway membership, disease associations, expression patterns.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Cluster gene list from Stage 1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Gene ID cross-reference (Ensembl, UniProt, NCBI)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UniProt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Protein function, subcellular localization, post-translational modifications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STRING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Known and predicted protein-protein interactions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KEGG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Pathway membership, especially glutamatergic synapse pathway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Reactome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Mechanistic pathway and signaling cascade membership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Gene Ontology (GO)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Biological process, molecular function, cellular component annotations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DisGeNET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Disease gene associations and phenotype links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OMIM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Mendelian disease and genetic disorder associations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GTEx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Tissue-specific and brain-region expression patterns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Batch-retrieve UniProt records for all cluster genes.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Extract protein function summaries and subcellular localization.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Query KEGG and Reactome for pathway membership overlap with NMDA signaling.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Compile GO term enrichment for biological processes.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Cross-reference DisGeNET for shared disease phenotypes.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Extract GTEx expression data for CNS tissues.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Annotated gene table: function, pathways, GO terms, diseases, expression profile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Pathway membership matrix (genes × KEGG/Reactome pathways)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Disease phenotype associations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CNS expression quantification</w:t>
      </w:r>
    </w:p>
    <w:p>
      <w:pPr>
        <w:spacing w:after="200" w:line="360"/>
        <w:ind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Excel workbook with worksheets: Gene_Annotations, Pathway_Membership, Disease_Associations, Expression_Data</w:t>
      </w:r>
    </w:p>
    <w:p>
      <w:pPr>
        <w:pStyle w:val="Heading2"/>
        <w:spacing w:before="240" w:after="240"/>
      </w:pPr>
      <w:r>
        <w:t xml:space="preserve">Stage 3: Functional Convergence Validation</w:t>
      </w:r>
    </w:p>
    <w:p>
      <w:pPr>
        <w:spacing w:after="200" w:line="360"/>
        <w:ind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Validate that cluster genes share genuine functional convergence (not just statistical artifact). Test pathway enrichment, protein-protein interaction enrichment, shared disease phenotypes.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Annotated gene table from Stage 2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Pathway databases (KEGG, Reactome)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Human protein interaction networks (STRING, BioGRID)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Disease association data (DisGeNET, OMIM)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Gene Set Enrichment Analysis (GSEA)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Statistical enrichment of pathways and biological processes in cluster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STRING Enrichment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PPI network enrichment and interaction density assessment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Reactome Pathway Enrichment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Mechanistic pathway convergence testing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Permutation-based Statistical Testing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Significance assessment vs. random gene sets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Run GSEA on cluster genes against KEGG/Reactome pathway databases.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Calculate FDR-adjusted p-values for pathway enrichment.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Quantify PPI edge density within cluster vs. random expectation.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Test for enrichment of shared disease phenotypes.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Permutation test: resample 1000 random gene sets of same size, compare enrichment statistics.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Enriched pathway list with FDR q-values (&lt; 0.05)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PPI enrichment statistic and p-value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Shared phenotype frequency and significance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Permutation test p-value (convergence significance)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Convergence confidence score (0–100)</w:t>
      </w:r>
    </w:p>
    <w:p>
      <w:pPr>
        <w:spacing w:after="200" w:line="360"/>
        <w:ind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PDF report with enrichment tables and distribution plots (enrichment vs. random)</w:t>
      </w:r>
    </w:p>
    <w:p>
      <w:pPr>
        <w:pStyle w:val="Heading2"/>
        <w:spacing w:before="240" w:after="240"/>
      </w:pPr>
      <w:r>
        <w:t xml:space="preserve">Stage 4: Druggability Assessment</w:t>
      </w:r>
    </w:p>
    <w:p>
      <w:pPr>
        <w:spacing w:after="200" w:line="360"/>
        <w:ind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Systematically evaluate druggability of each cluster gene across multiple modalities: small molecule (binding pockets, known ligands), ASO (transcript accessibility, CNS expression), antibody (extracellular domains), gene therapy.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Cluster gene list and protein structures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Known drug-target interactions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Protein domain and topology data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DrugBank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Known FDA-approved drugs and investigational compounds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ChEMBL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Chemical space, bioactivity data, and ligand databases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DGIdb (Drug-Gene Interaction Database)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Curated drug-gene interactions and druggability flags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canSAR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Structural druggability predictions (binding pockets, ligandability scores)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Open Targets Platform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Evidence integration for target prioritization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ASO Design Module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ASO design feasibility, off-target prediction, CNS penetration scoring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For each cluster gene, query DrugBank and ChEMBL for known ligands.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Calculate small-molecule druggability score via canSAR (pocket volume, conservation, ligandability).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Assess ASO feasibility: transcript structure, GC content, CNS expression (GTEx), off-target risk.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Evaluate antibody modality: predict extracellular domains, glycosylation sites.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Check Reactome for gene therapy targets (recessive loss-of-function candidates).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Druggability scorecard per gene: small-molecule score, ASO score, antibody score, gene therapy feasibility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Known ligands and clinical trials (if any)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Structural predictions (binding pockets, domains)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Modality recommendations</w:t>
      </w:r>
    </w:p>
    <w:p>
      <w:pPr>
        <w:spacing w:after="200" w:line="360"/>
        <w:ind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Excel workbook with columns: GeneID, SM_Score, ASO_Score, Antibody_Score, GeneTherapy_Feasible, TopModality, KnownLigands, ClinicalTrials</w:t>
      </w:r>
    </w:p>
    <w:p>
      <w:pPr>
        <w:pStyle w:val="Heading2"/>
        <w:spacing w:before="240" w:after="240"/>
      </w:pPr>
      <w:r>
        <w:t xml:space="preserve">Stage 5: Competitive &amp; IP Landscape Analysis</w:t>
      </w:r>
    </w:p>
    <w:p>
      <w:pPr>
        <w:spacing w:after="200" w:line="360"/>
        <w:ind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For druggable cluster genes, assess existing drug programs, clinical trials, patent coverage. Identify white-space opportunities.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Druggable gene list (Stage 4 outputs)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Gene names and protein names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ClinicalTrials.gov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Active and completed clinical trials targeting cluster genes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Lens.org Patent Database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Patent filings, inventors, priority dates, family status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FDA Approved Drugs Database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Marketed drugs and their targets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Pharma Pipeline Trackers (e.g., Cortellis, Citeline)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Investigational drugs in development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Query ClinicalTrials.gov for ongoing/completed trials targeting each druggable gene.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Search Lens.org for patent applications mentioning the gene as target.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Cross-reference FDA database for marketed drugs.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Identify competitive programs (pharma companies, stage of development).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Assess patent expiration dates and freedom-to-operate.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Competitive landscape table: gene, active programs, trial phase, patent status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White-space opportunities (genes with high druggability but low competitive activity)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Patent summary (filing dates, families, key claims)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Commercial opportunity score</w:t>
      </w:r>
    </w:p>
    <w:p>
      <w:pPr>
        <w:spacing w:after="200" w:line="360"/>
        <w:ind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PDF competitive landscape report with summary table and detailed gene profiles</w:t>
      </w:r>
    </w:p>
    <w:p>
      <w:pPr>
        <w:pStyle w:val="Heading2"/>
        <w:spacing w:before="240" w:after="240"/>
      </w:pPr>
      <w:r>
        <w:t xml:space="preserve">Stage 6: Prioritized Druggable Target Ranking</w:t>
      </w:r>
    </w:p>
    <w:p>
      <w:pPr>
        <w:spacing w:after="200" w:line="360"/>
        <w:ind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Composite scoring integrating EP convergence strength, druggability, competitive position, safety profile, commercial potential. Final prioritized target list.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EP convergence validation results (Stage 3)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Druggability assessments (Stage 4)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Competitive landscape (Stage 5)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Safety and toxicity data (DepMap, TCGA)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Sapphire Composite Scoring Engine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Multi-dimensional target ranking algorithm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Confidence Scoring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CRISPR essentiality and viability data integration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DepMap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: Gene essentiality in normal and cancer cell lines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Normalize scores: EP convergence (0–100), druggability (0–100), competitive saturation (0–100 inverted), safety (0–100).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Weight composite score: 30% convergence + 40% druggability + 15% commercial opportunity + 15% safety.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Rank genes by composite score.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Segment targets: Tier 1 (score ≥ 75), Tier 2 (60–74), Tier 3 (&lt; 60).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Final ranked target list with composite scores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Top 5–10 priority targets (Tier 1)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Recommendation summary for each top target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Decision matrix visualization</w:t>
      </w:r>
    </w:p>
    <w:p>
      <w:pPr>
        <w:spacing w:after="200" w:line="360"/>
        <w:ind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Executive summary report (PDF) + detailed Excel ranking table</w:t>
      </w:r>
    </w:p>
    <w:p>
      <w:pPr>
        <w:pStyle w:val="Heading2"/>
        <w:spacing w:before="240" w:after="240"/>
      </w:pPr>
      <w:r>
        <w:t xml:space="preserve">Tools &amp; Databases Summary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Quiver CRISPR EP Atlas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Quiver Embedding Module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UniProt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STRING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KEGG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Reactome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Gene Ontology (GO)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DisGeNET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OMIM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GTEx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GSEA (Gene Set Enrichment Analysis)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DrugBank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ChEMBL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DGIdb (Drug-Gene Interaction Database)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canSAR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Open Targets Platform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Quiver ASO Design Module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ClinicalTrials.gov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Lens.org Patent Database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FDA Approved Drugs Database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DepMap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Sapphire Composite Scoring Engine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Quiver Confidence Scoring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2026-02-19T01:01:46.771Z</dcterms:created>
  <dcterms:modified xsi:type="dcterms:W3CDTF">2026-02-19T01:01:46.771Z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