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rPr>
          <w:rFonts w:ascii="Arial" w:cs="Arial" w:eastAsia="Arial" w:hAnsi="Arial"/>
          <w:b/>
          <w:bCs/>
          <w:sz w:val="32"/>
          <w:szCs w:val="32"/>
        </w:rPr>
        <w:t xml:space="preserve">Sapphire Pipeline Workflow</w:t>
      </w:r>
    </w:p>
    <w:p>
      <w:pPr>
        <w:spacing w:before="200" w:after="200"/>
      </w:pPr>
      <w:r>
        <w:rPr>
          <w:rFonts w:ascii="Arial" w:cs="Arial" w:eastAsia="Arial" w:hAnsi="Arial"/>
          <w:b/>
          <w:bCs/>
          <w:sz w:val="28"/>
          <w:szCs w:val="28"/>
        </w:rPr>
        <w:t xml:space="preserve">Prompt: "Identify gene targets in neuroinflammation that show strong functional rescue in human neurons but minimal microglial toxicity signals."</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spacing w:before="200" w:after="200"/>
      </w:pPr>
      <w:r>
        <w:rPr>
          <w:rFonts w:ascii="Arial" w:cs="Arial" w:eastAsia="Arial" w:hAnsi="Arial"/>
          <w:b/>
          <w:bCs/>
          <w:sz w:val="28"/>
          <w:szCs w:val="28"/>
        </w:rPr>
        <w:t xml:space="preserve">Pipeline Overview</w:t>
      </w:r>
    </w:p>
    <w:p>
      <w:pPr>
        <w:spacing w:after="300" w:line="360"/>
      </w:pPr>
      <w:r>
        <w:rPr>
          <w:rFonts w:ascii="Arial" w:cs="Arial" w:eastAsia="Arial" w:hAnsi="Arial"/>
          <w:sz w:val="24"/>
          <w:szCs w:val="24"/>
        </w:rPr>
        <w:t xml:space="preserve">This pipeline identifies neuroinflammation gene targets that rescue neuronal excitability-paroxysm (EP) phenotypes without triggering microglial toxicity — a critical dual-constraint optimization for CNS therapeutics. The workflow integrates neuroinflammatory pathway data, CRISPR functional screening results, microglial transcriptomic signals, and druggability assessment to deliver a ranked list of candidate genes with confidence scores and validation strategies.</w:t>
      </w:r>
    </w:p>
    <w:p>
      <w:pPr>
        <w:spacing w:after="300" w:line="360"/>
      </w:pPr>
      <w:r>
        <w:rPr>
          <w:rFonts w:ascii="Arial" w:cs="Arial" w:eastAsia="Arial" w:hAnsi="Arial"/>
          <w:sz w:val="24"/>
          <w:szCs w:val="24"/>
        </w:rPr>
        <w:t xml:space="preserve">The six sequential stages systematically narrow and validate the candidate space: (1) Assembly of comprehensive neuroinflammation gene sets from pathway databases and literature, (2) Functional rescue screening in human neurons using Quiver CRISPR EP atlas, (3) Microglial toxicity risk assessment from transcriptomic datasets, (4) Dual-constraint filtering and ranking, (5) Druggability and therapeutic strategy evaluation, and (6) Confidence scoring and validation planning.</w:t>
      </w:r>
    </w:p>
    <w:p>
      <w:pPr>
        <w:spacing w:before="200" w:after="200"/>
      </w:pPr>
      <w:r>
        <w:rPr>
          <w:rFonts w:ascii="Arial" w:cs="Arial" w:eastAsia="Arial" w:hAnsi="Arial"/>
          <w:b/>
          <w:bCs/>
          <w:sz w:val="28"/>
          <w:szCs w:val="28"/>
        </w:rPr>
        <w:t xml:space="preserve">Stage 1: Neuroinflammation Gene Set Assembly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Compile a comprehensive list of neuroinflammation-associated genes from pathway databases, GWAS studies, and literature. Include cytokine signaling pathways (TNF, IL-1, IL-6), complement cascade components, microglial activation markers, astrocyte reactivity genes, and NF-kB pathway members to create a seed list for downstream screening.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Neuroinflammation pathway annotations from KEGG, Reactome databases</w:t>
      </w:r>
    </w:p>
    <w:p>
      <w:pPr>
        <w:pStyle w:val="ListParagraph"/>
        <w:numPr>
          <w:ilvl w:val="0"/>
          <w:numId w:val="2"/>
        </w:numPr>
        <w:spacing w:after="100" w:line="360"/>
      </w:pPr>
      <w:r>
        <w:t xml:space="preserve">Gene Ontology inflammatory response and immune activation terms</w:t>
      </w:r>
    </w:p>
    <w:p>
      <w:pPr>
        <w:pStyle w:val="ListParagraph"/>
        <w:numPr>
          <w:ilvl w:val="0"/>
          <w:numId w:val="2"/>
        </w:numPr>
        <w:spacing w:after="100" w:line="360"/>
      </w:pPr>
      <w:r>
        <w:t xml:space="preserve">Published GWAS summary statistics for neuroinflammatory diseases</w:t>
      </w:r>
    </w:p>
    <w:p>
      <w:pPr>
        <w:pStyle w:val="ListParagraph"/>
        <w:numPr>
          <w:ilvl w:val="0"/>
          <w:numId w:val="2"/>
        </w:numPr>
        <w:spacing w:after="100" w:line="360"/>
      </w:pPr>
      <w:r>
        <w:t xml:space="preserve">MSigDB inflammatory and innate immune gene sets</w:t>
      </w:r>
    </w:p>
    <w:p>
      <w:pPr>
        <w:pStyle w:val="ListParagraph"/>
        <w:numPr>
          <w:ilvl w:val="0"/>
          <w:numId w:val="2"/>
        </w:numPr>
        <w:spacing w:after="100" w:line="360"/>
      </w:pPr>
      <w:r>
        <w:t xml:space="preserve">DisGeNET curated disease-gene associations for neuroinflammation</w:t>
      </w:r>
    </w:p>
    <w:p>
      <w:pPr>
        <w:pStyle w:val="ListParagraph"/>
        <w:numPr>
          <w:ilvl w:val="0"/>
          <w:numId w:val="2"/>
        </w:numPr>
        <w:spacing w:after="100" w:line="360"/>
      </w:pPr>
      <w:r>
        <w:t xml:space="preserve">PubMed literature corpus on neuroinflammation and neuroimmunomodulation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KEGG (Kyoto Encyclopedia of Genes and Genomes)</w:t>
      </w:r>
      <w:r>
        <w:rPr>
          <w:rFonts w:ascii="Arial" w:cs="Arial" w:eastAsia="Arial" w:hAnsi="Arial"/>
          <w:sz w:val="24"/>
          <w:szCs w:val="24"/>
        </w:rPr>
        <w:t xml:space="preserve"> — Retrieve neuroinflammation, cytokine-cytokine receptor interaction, and Toll-like receptor signaling pathways</w:t>
      </w:r>
    </w:p>
    <w:p>
      <w:pPr>
        <w:pStyle w:val="ListParagraph"/>
        <w:numPr>
          <w:ilvl w:val="0"/>
          <w:numId w:val="2"/>
        </w:numPr>
        <w:spacing w:after="100" w:line="360"/>
      </w:pPr>
      <w:r>
        <w:rPr>
          <w:rFonts w:ascii="Arial" w:cs="Arial" w:eastAsia="Arial" w:hAnsi="Arial"/>
          <w:b/>
          <w:bCs/>
          <w:sz w:val="24"/>
          <w:szCs w:val="24"/>
        </w:rPr>
        <w:t xml:space="preserve">Reactome</w:t>
      </w:r>
      <w:r>
        <w:rPr>
          <w:rFonts w:ascii="Arial" w:cs="Arial" w:eastAsia="Arial" w:hAnsi="Arial"/>
          <w:sz w:val="24"/>
          <w:szCs w:val="24"/>
        </w:rPr>
        <w:t xml:space="preserve"> — Extract immune system signaling and innate immune response pathways</w:t>
      </w:r>
    </w:p>
    <w:p>
      <w:pPr>
        <w:pStyle w:val="ListParagraph"/>
        <w:numPr>
          <w:ilvl w:val="0"/>
          <w:numId w:val="2"/>
        </w:numPr>
        <w:spacing w:after="100" w:line="360"/>
      </w:pPr>
      <w:r>
        <w:rPr>
          <w:rFonts w:ascii="Arial" w:cs="Arial" w:eastAsia="Arial" w:hAnsi="Arial"/>
          <w:b/>
          <w:bCs/>
          <w:sz w:val="24"/>
          <w:szCs w:val="24"/>
        </w:rPr>
        <w:t xml:space="preserve">Gene Ontology</w:t>
      </w:r>
      <w:r>
        <w:rPr>
          <w:rFonts w:ascii="Arial" w:cs="Arial" w:eastAsia="Arial" w:hAnsi="Arial"/>
          <w:sz w:val="24"/>
          <w:szCs w:val="24"/>
        </w:rPr>
        <w:t xml:space="preserve"> — Query GO terms for inflammatory response, microglial activation, astrocyte activation</w:t>
      </w:r>
    </w:p>
    <w:p>
      <w:pPr>
        <w:pStyle w:val="ListParagraph"/>
        <w:numPr>
          <w:ilvl w:val="0"/>
          <w:numId w:val="2"/>
        </w:numPr>
        <w:spacing w:after="100" w:line="360"/>
      </w:pPr>
      <w:r>
        <w:rPr>
          <w:rFonts w:ascii="Arial" w:cs="Arial" w:eastAsia="Arial" w:hAnsi="Arial"/>
          <w:b/>
          <w:bCs/>
          <w:sz w:val="24"/>
          <w:szCs w:val="24"/>
        </w:rPr>
        <w:t xml:space="preserve">DisGeNET</w:t>
      </w:r>
      <w:r>
        <w:rPr>
          <w:rFonts w:ascii="Arial" w:cs="Arial" w:eastAsia="Arial" w:hAnsi="Arial"/>
          <w:sz w:val="24"/>
          <w:szCs w:val="24"/>
        </w:rPr>
        <w:t xml:space="preserve"> — Retrieve disease-gene associations for neuroinflammatory and neurodegenerative diseases</w:t>
      </w:r>
    </w:p>
    <w:p>
      <w:pPr>
        <w:pStyle w:val="ListParagraph"/>
        <w:numPr>
          <w:ilvl w:val="0"/>
          <w:numId w:val="2"/>
        </w:numPr>
        <w:spacing w:after="100" w:line="360"/>
      </w:pPr>
      <w:r>
        <w:rPr>
          <w:rFonts w:ascii="Arial" w:cs="Arial" w:eastAsia="Arial" w:hAnsi="Arial"/>
          <w:b/>
          <w:bCs/>
          <w:sz w:val="24"/>
          <w:szCs w:val="24"/>
        </w:rPr>
        <w:t xml:space="preserve">PubMed</w:t>
      </w:r>
      <w:r>
        <w:rPr>
          <w:rFonts w:ascii="Arial" w:cs="Arial" w:eastAsia="Arial" w:hAnsi="Arial"/>
          <w:sz w:val="24"/>
          <w:szCs w:val="24"/>
        </w:rPr>
        <w:t xml:space="preserve"> — Literature mining for neuroinflammation targets, microglial regulation, and therapeutic modulation</w:t>
      </w:r>
    </w:p>
    <w:p>
      <w:pPr>
        <w:pStyle w:val="ListParagraph"/>
        <w:numPr>
          <w:ilvl w:val="0"/>
          <w:numId w:val="2"/>
        </w:numPr>
        <w:spacing w:after="100" w:line="360"/>
      </w:pPr>
      <w:r>
        <w:rPr>
          <w:rFonts w:ascii="Arial" w:cs="Arial" w:eastAsia="Arial" w:hAnsi="Arial"/>
          <w:b/>
          <w:bCs/>
          <w:sz w:val="24"/>
          <w:szCs w:val="24"/>
        </w:rPr>
        <w:t xml:space="preserve">MSigDB</w:t>
      </w:r>
      <w:r>
        <w:rPr>
          <w:rFonts w:ascii="Arial" w:cs="Arial" w:eastAsia="Arial" w:hAnsi="Arial"/>
          <w:sz w:val="24"/>
          <w:szCs w:val="24"/>
        </w:rPr>
        <w:t xml:space="preserve"> — Access curated gene sets for inflammatory and innate immune responses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What are all genes in the KEGG neuroinflammation pathway (mmu04621 or hsa04621)?</w:t>
      </w:r>
    </w:p>
    <w:p>
      <w:pPr>
        <w:pStyle w:val="ListParagraph"/>
        <w:numPr>
          <w:ilvl w:val="0"/>
          <w:numId w:val="2"/>
        </w:numPr>
        <w:spacing w:after="100" w:line="360"/>
      </w:pPr>
      <w:r>
        <w:t xml:space="preserve">Which genes are annotated with GO term 'microglial activation' (GO:0001774)?</w:t>
      </w:r>
    </w:p>
    <w:p>
      <w:pPr>
        <w:pStyle w:val="ListParagraph"/>
        <w:numPr>
          <w:ilvl w:val="0"/>
          <w:numId w:val="2"/>
        </w:numPr>
        <w:spacing w:after="100" w:line="360"/>
      </w:pPr>
      <w:r>
        <w:t xml:space="preserve">Retrieve all disease-gene associations in DisGeNET for Alzheimer's disease, Parkinson's disease, and multiple sclerosis</w:t>
      </w:r>
    </w:p>
    <w:p>
      <w:pPr>
        <w:pStyle w:val="ListParagraph"/>
        <w:numPr>
          <w:ilvl w:val="0"/>
          <w:numId w:val="2"/>
        </w:numPr>
        <w:spacing w:after="100" w:line="360"/>
      </w:pPr>
      <w:r>
        <w:t xml:space="preserve">What are the top genes in MSigDB's 'inflammatory response' and 'innate immune response' gene sets?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Consolidated list of ~500–1500 neuroinflammation-associated genes from all sources</w:t>
      </w:r>
    </w:p>
    <w:p>
      <w:pPr>
        <w:pStyle w:val="ListParagraph"/>
        <w:numPr>
          <w:ilvl w:val="0"/>
          <w:numId w:val="2"/>
        </w:numPr>
        <w:spacing w:after="100" w:line="360"/>
      </w:pPr>
      <w:r>
        <w:t xml:space="preserve">Gene annotation file with source database, pathway membership, GO terms, and disease associations</w:t>
      </w:r>
    </w:p>
    <w:p>
      <w:pPr>
        <w:pStyle w:val="ListParagraph"/>
        <w:numPr>
          <w:ilvl w:val="0"/>
          <w:numId w:val="2"/>
        </w:numPr>
        <w:spacing w:after="100" w:line="360"/>
      </w:pPr>
      <w:r>
        <w:t xml:space="preserve">Metadata on cytokine signaling genes, complement components, microglial markers, astrocyte reactivity genes, NF-kB pathway members (functional subcategories)</w:t>
      </w:r>
    </w:p>
    <w:p>
      <w:pPr>
        <w:pStyle w:val="ListParagraph"/>
        <w:numPr>
          <w:ilvl w:val="0"/>
          <w:numId w:val="2"/>
        </w:numPr>
        <w:spacing w:after="100" w:line="360"/>
      </w:pPr>
      <w:r>
        <w:t xml:space="preserve">Quality metrics: coverage of known neuroinflammation targets, overlap statistics between databases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TSV or CSV file with gene symbol, Ensembl ID, sources, pathway annotations, GO terms, and disease associations.</w:t>
      </w:r>
    </w:p>
    <w:p>
      <w:pPr>
        <w:spacing w:before="200" w:after="200"/>
      </w:pPr>
      <w:r>
        <w:rPr>
          <w:rFonts w:ascii="Arial" w:cs="Arial" w:eastAsia="Arial" w:hAnsi="Arial"/>
          <w:b/>
          <w:bCs/>
          <w:sz w:val="28"/>
          <w:szCs w:val="28"/>
        </w:rPr>
        <w:t xml:space="preserve">Stage 2: Quiver Neuronal Functional Rescue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Query Quiver's comprehensive CRISPR excitability-paroxysm (EP) atlas to identify which of the Stage 1 neuroinflammation genes, when perturbed, produce strong functional rescue signatures in human cortical neurons. Rescue is defined by normalized firing rates, restored network activity, improved E/I balance, and reduced seizure-like bursting.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Stage 1 consolidated neuroinflammation gene list</w:t>
      </w:r>
    </w:p>
    <w:p>
      <w:pPr>
        <w:pStyle w:val="ListParagraph"/>
        <w:numPr>
          <w:ilvl w:val="0"/>
          <w:numId w:val="2"/>
        </w:numPr>
        <w:spacing w:after="100" w:line="360"/>
      </w:pPr>
      <w:r>
        <w:t xml:space="preserve">Quiver CRISPR EP atlas — phenotype measurements (firing rate, bursting, network activity) for all genes</w:t>
      </w:r>
    </w:p>
    <w:p>
      <w:pPr>
        <w:pStyle w:val="ListParagraph"/>
        <w:numPr>
          <w:ilvl w:val="0"/>
          <w:numId w:val="2"/>
        </w:numPr>
        <w:spacing w:after="100" w:line="360"/>
      </w:pPr>
      <w:r>
        <w:t xml:space="preserve">Quiver EP feature extraction pipeline outputs (normalized EP phenotypes, effect sizes)</w:t>
      </w:r>
    </w:p>
    <w:p>
      <w:pPr>
        <w:pStyle w:val="ListParagraph"/>
        <w:numPr>
          <w:ilvl w:val="0"/>
          <w:numId w:val="2"/>
        </w:numPr>
        <w:spacing w:after="100" w:line="360"/>
      </w:pPr>
      <w:r>
        <w:t xml:space="preserve">Definition of 'strong rescue': effect size |d| &gt; 0.8 standard deviations and statistical significance FDR &lt; 0.05</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Quiver CRISPR EP Atlas</w:t>
      </w:r>
      <w:r>
        <w:rPr>
          <w:rFonts w:ascii="Arial" w:cs="Arial" w:eastAsia="Arial" w:hAnsi="Arial"/>
          <w:sz w:val="24"/>
          <w:szCs w:val="24"/>
        </w:rPr>
        <w:t xml:space="preserve"> — Comprehensive database of CRISPR perturbations and resultant EP phenotypes in human cortical neurons</w:t>
      </w:r>
    </w:p>
    <w:p>
      <w:pPr>
        <w:pStyle w:val="ListParagraph"/>
        <w:numPr>
          <w:ilvl w:val="0"/>
          <w:numId w:val="2"/>
        </w:numPr>
        <w:spacing w:after="100" w:line="360"/>
      </w:pPr>
      <w:r>
        <w:rPr>
          <w:rFonts w:ascii="Arial" w:cs="Arial" w:eastAsia="Arial" w:hAnsi="Arial"/>
          <w:b/>
          <w:bCs/>
          <w:sz w:val="24"/>
          <w:szCs w:val="24"/>
        </w:rPr>
        <w:t xml:space="preserve">Quiver EP Rescue Scoring Module</w:t>
      </w:r>
      <w:r>
        <w:rPr>
          <w:rFonts w:ascii="Arial" w:cs="Arial" w:eastAsia="Arial" w:hAnsi="Arial"/>
          <w:sz w:val="24"/>
          <w:szCs w:val="24"/>
        </w:rPr>
        <w:t xml:space="preserve"> — Automated quantification of neuronal rescue phenotypes (firing rate normalization, E/I restoration, bursting reduction)</w:t>
      </w:r>
    </w:p>
    <w:p>
      <w:pPr>
        <w:pStyle w:val="ListParagraph"/>
        <w:numPr>
          <w:ilvl w:val="0"/>
          <w:numId w:val="2"/>
        </w:numPr>
        <w:spacing w:after="100" w:line="360"/>
      </w:pPr>
      <w:r>
        <w:rPr>
          <w:rFonts w:ascii="Arial" w:cs="Arial" w:eastAsia="Arial" w:hAnsi="Arial"/>
          <w:b/>
          <w:bCs/>
          <w:sz w:val="24"/>
          <w:szCs w:val="24"/>
        </w:rPr>
        <w:t xml:space="preserve">Quiver EP Feature Extraction Pipeline</w:t>
      </w:r>
      <w:r>
        <w:rPr>
          <w:rFonts w:ascii="Arial" w:cs="Arial" w:eastAsia="Arial" w:hAnsi="Arial"/>
          <w:sz w:val="24"/>
          <w:szCs w:val="24"/>
        </w:rPr>
        <w:t xml:space="preserve"> — Normalizes electrophysiological phenotypes, calculates effect sizes, applies statistical thresholding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For each gene in the Stage 1 list, retrieve EP phenotype data (firing rate, burst frequency, E/I ratio) from Quiver atlas</w:t>
      </w:r>
    </w:p>
    <w:p>
      <w:pPr>
        <w:pStyle w:val="ListParagraph"/>
        <w:numPr>
          <w:ilvl w:val="0"/>
          <w:numId w:val="2"/>
        </w:numPr>
        <w:spacing w:after="100" w:line="360"/>
      </w:pPr>
      <w:r>
        <w:t xml:space="preserve">Which genes show firing rate increase &gt; 0.8 SD and FDR &lt; 0.05 upon perturbation in Quiver?</w:t>
      </w:r>
    </w:p>
    <w:p>
      <w:pPr>
        <w:pStyle w:val="ListParagraph"/>
        <w:numPr>
          <w:ilvl w:val="0"/>
          <w:numId w:val="2"/>
        </w:numPr>
        <w:spacing w:after="100" w:line="360"/>
      </w:pPr>
      <w:r>
        <w:t xml:space="preserve">Calculate rescue score for each gene: composite of normalized firing, restored network activity, reduced bursting</w:t>
      </w:r>
    </w:p>
    <w:p>
      <w:pPr>
        <w:pStyle w:val="ListParagraph"/>
        <w:numPr>
          <w:ilvl w:val="0"/>
          <w:numId w:val="2"/>
        </w:numPr>
        <w:spacing w:after="100" w:line="360"/>
      </w:pPr>
      <w:r>
        <w:t xml:space="preserve">Rank genes by rescue score (descending) and identify top 100–150 candidates with strong rescue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Filtered list of ~100–150 neuroinflammation genes with strong neuronal rescue phenotypes</w:t>
      </w:r>
    </w:p>
    <w:p>
      <w:pPr>
        <w:pStyle w:val="ListParagraph"/>
        <w:numPr>
          <w:ilvl w:val="0"/>
          <w:numId w:val="2"/>
        </w:numPr>
        <w:spacing w:after="100" w:line="360"/>
      </w:pPr>
      <w:r>
        <w:t xml:space="preserve">Rescue score table: gene symbol, effect size (Cohen's d), FDR-adjusted p-value, firing rate change (%), E/I ratio change, bursting reduction (%)</w:t>
      </w:r>
    </w:p>
    <w:p>
      <w:pPr>
        <w:pStyle w:val="ListParagraph"/>
        <w:numPr>
          <w:ilvl w:val="0"/>
          <w:numId w:val="2"/>
        </w:numPr>
        <w:spacing w:after="100" w:line="360"/>
      </w:pPr>
      <w:r>
        <w:t xml:space="preserve">Visualization: scatter plot of genes (e.g., firing rate vs. E/I ratio change), highlighting top rescue candidates</w:t>
      </w:r>
    </w:p>
    <w:p>
      <w:pPr>
        <w:pStyle w:val="ListParagraph"/>
        <w:numPr>
          <w:ilvl w:val="0"/>
          <w:numId w:val="2"/>
        </w:numPr>
        <w:spacing w:after="100" w:line="360"/>
      </w:pPr>
      <w:r>
        <w:t xml:space="preserve">Confidence flags: genes with robust rescue across replicate experiments, stable phenotypes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TSV file with gene symbol, Ensembl ID, rescue score, effect sizes, p-values, phenotype metrics, and ranking.</w:t>
      </w:r>
    </w:p>
    <w:p>
      <w:pPr>
        <w:spacing w:before="200" w:after="200"/>
      </w:pPr>
      <w:r>
        <w:rPr>
          <w:rFonts w:ascii="Arial" w:cs="Arial" w:eastAsia="Arial" w:hAnsi="Arial"/>
          <w:b/>
          <w:bCs/>
          <w:sz w:val="28"/>
          <w:szCs w:val="28"/>
        </w:rPr>
        <w:t xml:space="preserve">Stage 3: Microglial Toxicity Signal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all Stage 2 genes with strong neuronal rescue, assess microglial toxicity risk: does modulating this gene activate microglia, trigger cytokine/chemokine release, disrupt homeostatic states, or impair phagocytosis? Integrate published microglial transcriptomic datasets, single-cell RNA-seq atlases, and Quiver co-culture data to assign toxicity risk scores.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Stage 2 filtered gene list with strong neuronal rescue</w:t>
      </w:r>
    </w:p>
    <w:p>
      <w:pPr>
        <w:pStyle w:val="ListParagraph"/>
        <w:numPr>
          <w:ilvl w:val="0"/>
          <w:numId w:val="2"/>
        </w:numPr>
        <w:spacing w:after="100" w:line="360"/>
      </w:pPr>
      <w:r>
        <w:t xml:space="preserve">Published microglial RNA-seq datasets (activated vs. homeostatic states)</w:t>
      </w:r>
    </w:p>
    <w:p>
      <w:pPr>
        <w:pStyle w:val="ListParagraph"/>
        <w:numPr>
          <w:ilvl w:val="0"/>
          <w:numId w:val="2"/>
        </w:numPr>
        <w:spacing w:after="100" w:line="360"/>
      </w:pPr>
      <w:r>
        <w:t xml:space="preserve">Single-cell RNA-seq atlases of microglial subtypes and states</w:t>
      </w:r>
    </w:p>
    <w:p>
      <w:pPr>
        <w:pStyle w:val="ListParagraph"/>
        <w:numPr>
          <w:ilvl w:val="0"/>
          <w:numId w:val="2"/>
        </w:numPr>
        <w:spacing w:after="100" w:line="360"/>
      </w:pPr>
      <w:r>
        <w:t xml:space="preserve">Human Protein Atlas microglial expression and localization data</w:t>
      </w:r>
    </w:p>
    <w:p>
      <w:pPr>
        <w:pStyle w:val="ListParagraph"/>
        <w:numPr>
          <w:ilvl w:val="0"/>
          <w:numId w:val="2"/>
        </w:numPr>
        <w:spacing w:after="100" w:line="360"/>
      </w:pPr>
      <w:r>
        <w:t xml:space="preserve">Quiver neuron-microglia co-culture functional data (if available)</w:t>
      </w:r>
    </w:p>
    <w:p>
      <w:pPr>
        <w:pStyle w:val="ListParagraph"/>
        <w:numPr>
          <w:ilvl w:val="0"/>
          <w:numId w:val="2"/>
        </w:numPr>
        <w:spacing w:after="100" w:line="360"/>
      </w:pPr>
      <w:r>
        <w:t xml:space="preserve">PubMed literature on microglial activation markers (TNF, IL-1β, IL-6, MCP-1, iNOS, CD86)</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Published Microglial RNA-seq Datasets</w:t>
      </w:r>
      <w:r>
        <w:rPr>
          <w:rFonts w:ascii="Arial" w:cs="Arial" w:eastAsia="Arial" w:hAnsi="Arial"/>
          <w:sz w:val="24"/>
          <w:szCs w:val="24"/>
        </w:rPr>
        <w:t xml:space="preserve"> — Gosselin et al., Galatro et al., and other large-scale studies comparing activated vs. homeostatic microglia transcriptomes</w:t>
      </w:r>
    </w:p>
    <w:p>
      <w:pPr>
        <w:pStyle w:val="ListParagraph"/>
        <w:numPr>
          <w:ilvl w:val="0"/>
          <w:numId w:val="2"/>
        </w:numPr>
        <w:spacing w:after="100" w:line="360"/>
      </w:pPr>
      <w:r>
        <w:rPr>
          <w:rFonts w:ascii="Arial" w:cs="Arial" w:eastAsia="Arial" w:hAnsi="Arial"/>
          <w:b/>
          <w:bCs/>
          <w:sz w:val="24"/>
          <w:szCs w:val="24"/>
        </w:rPr>
        <w:t xml:space="preserve">Human Protein Atlas</w:t>
      </w:r>
      <w:r>
        <w:rPr>
          <w:rFonts w:ascii="Arial" w:cs="Arial" w:eastAsia="Arial" w:hAnsi="Arial"/>
          <w:sz w:val="24"/>
          <w:szCs w:val="24"/>
        </w:rPr>
        <w:t xml:space="preserve"> — Microglial cell-type-specific expression, localization, and staining patterns</w:t>
      </w:r>
    </w:p>
    <w:p>
      <w:pPr>
        <w:pStyle w:val="ListParagraph"/>
        <w:numPr>
          <w:ilvl w:val="0"/>
          <w:numId w:val="2"/>
        </w:numPr>
        <w:spacing w:after="100" w:line="360"/>
      </w:pPr>
      <w:r>
        <w:rPr>
          <w:rFonts w:ascii="Arial" w:cs="Arial" w:eastAsia="Arial" w:hAnsi="Arial"/>
          <w:b/>
          <w:bCs/>
          <w:sz w:val="24"/>
          <w:szCs w:val="24"/>
        </w:rPr>
        <w:t xml:space="preserve">Single-Cell RNA-seq Atlases</w:t>
      </w:r>
      <w:r>
        <w:rPr>
          <w:rFonts w:ascii="Arial" w:cs="Arial" w:eastAsia="Arial" w:hAnsi="Arial"/>
          <w:sz w:val="24"/>
          <w:szCs w:val="24"/>
        </w:rPr>
        <w:t xml:space="preserve"> — scRNA-seq studies of human brain microglia (Galatro, Masuda, etc.) identifying microglial cell states and activation profiles</w:t>
      </w:r>
    </w:p>
    <w:p>
      <w:pPr>
        <w:pStyle w:val="ListParagraph"/>
        <w:numPr>
          <w:ilvl w:val="0"/>
          <w:numId w:val="2"/>
        </w:numPr>
        <w:spacing w:after="100" w:line="360"/>
      </w:pPr>
      <w:r>
        <w:rPr>
          <w:rFonts w:ascii="Arial" w:cs="Arial" w:eastAsia="Arial" w:hAnsi="Arial"/>
          <w:b/>
          <w:bCs/>
          <w:sz w:val="24"/>
          <w:szCs w:val="24"/>
        </w:rPr>
        <w:t xml:space="preserve">Quiver Neuron-Microglia Co-Culture Data</w:t>
      </w:r>
      <w:r>
        <w:rPr>
          <w:rFonts w:ascii="Arial" w:cs="Arial" w:eastAsia="Arial" w:hAnsi="Arial"/>
          <w:sz w:val="24"/>
          <w:szCs w:val="24"/>
        </w:rPr>
        <w:t xml:space="preserve"> — Functional readouts of microglial toxicity (cytokine release, phagocytosis, neuronal damage) upon gene perturbations (if available)</w:t>
      </w:r>
    </w:p>
    <w:p>
      <w:pPr>
        <w:pStyle w:val="ListParagraph"/>
        <w:numPr>
          <w:ilvl w:val="0"/>
          <w:numId w:val="2"/>
        </w:numPr>
        <w:spacing w:after="100" w:line="360"/>
      </w:pPr>
      <w:r>
        <w:rPr>
          <w:rFonts w:ascii="Arial" w:cs="Arial" w:eastAsia="Arial" w:hAnsi="Arial"/>
          <w:b/>
          <w:bCs/>
          <w:sz w:val="24"/>
          <w:szCs w:val="24"/>
        </w:rPr>
        <w:t xml:space="preserve">PubMed Literature Mining</w:t>
      </w:r>
      <w:r>
        <w:rPr>
          <w:rFonts w:ascii="Arial" w:cs="Arial" w:eastAsia="Arial" w:hAnsi="Arial"/>
          <w:sz w:val="24"/>
          <w:szCs w:val="24"/>
        </w:rPr>
        <w:t xml:space="preserve"> — Evidence of gene roles in microglial activation, cytokine production, and pro-inflammatory states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For each Stage 2 gene, query Gosselin et al. microglial RNA-seq: is it significantly upregulated in activated vs. homeostatic microglia?</w:t>
      </w:r>
    </w:p>
    <w:p>
      <w:pPr>
        <w:pStyle w:val="ListParagraph"/>
        <w:numPr>
          <w:ilvl w:val="0"/>
          <w:numId w:val="2"/>
        </w:numPr>
        <w:spacing w:after="100" w:line="360"/>
      </w:pPr>
      <w:r>
        <w:t xml:space="preserve">Retrieve Human Protein Atlas microglial expression and categorize genes as microglial-enriched, microglial-expressed, or not microglial-expressed</w:t>
      </w:r>
    </w:p>
    <w:p>
      <w:pPr>
        <w:pStyle w:val="ListParagraph"/>
        <w:numPr>
          <w:ilvl w:val="0"/>
          <w:numId w:val="2"/>
        </w:numPr>
        <w:spacing w:after="100" w:line="360"/>
      </w:pPr>
      <w:r>
        <w:t xml:space="preserve">What are the established roles of each gene in microglial activation, PRR signaling, and cytokine production?</w:t>
      </w:r>
    </w:p>
    <w:p>
      <w:pPr>
        <w:pStyle w:val="ListParagraph"/>
        <w:numPr>
          <w:ilvl w:val="0"/>
          <w:numId w:val="2"/>
        </w:numPr>
        <w:spacing w:after="100" w:line="360"/>
      </w:pPr>
      <w:r>
        <w:t xml:space="preserve">Assign toxicity risk score based on: microglial expression level, activation marker association, literature evidence of pro-inflammatory activity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Microglial toxicity risk assessment table: gene symbol, microglial expression level, upregulation in activated vs. homeostatic microglia (log2 FC), association with pro-inflammatory markers</w:t>
      </w:r>
    </w:p>
    <w:p>
      <w:pPr>
        <w:pStyle w:val="ListParagraph"/>
        <w:numPr>
          <w:ilvl w:val="0"/>
          <w:numId w:val="2"/>
        </w:numPr>
        <w:spacing w:after="100" w:line="360"/>
      </w:pPr>
      <w:r>
        <w:t xml:space="preserve">Toxicity risk score for each gene (0–1 scale, where 0 = minimal risk, 1 = high risk of toxicity)</w:t>
      </w:r>
    </w:p>
    <w:p>
      <w:pPr>
        <w:pStyle w:val="ListParagraph"/>
        <w:numPr>
          <w:ilvl w:val="0"/>
          <w:numId w:val="2"/>
        </w:numPr>
        <w:spacing w:after="100" w:line="360"/>
      </w:pPr>
      <w:r>
        <w:t xml:space="preserve">Literature summary: key evidence from PubMed on each gene's microglial effects</w:t>
      </w:r>
    </w:p>
    <w:p>
      <w:pPr>
        <w:pStyle w:val="ListParagraph"/>
        <w:numPr>
          <w:ilvl w:val="0"/>
          <w:numId w:val="2"/>
        </w:numPr>
        <w:spacing w:after="100" w:line="360"/>
      </w:pPr>
      <w:r>
        <w:t xml:space="preserve">Data gaps: genes with insufficient microglial data, requiring co-culture validation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TSV file with gene symbol, microglial expression metrics, activation marker associations, toxicity risk score, and literature notes.</w:t>
      </w:r>
    </w:p>
    <w:p>
      <w:pPr>
        <w:spacing w:before="200" w:after="200"/>
      </w:pPr>
      <w:r>
        <w:rPr>
          <w:rFonts w:ascii="Arial" w:cs="Arial" w:eastAsia="Arial" w:hAnsi="Arial"/>
          <w:b/>
          <w:bCs/>
          <w:sz w:val="28"/>
          <w:szCs w:val="28"/>
        </w:rPr>
        <w:t xml:space="preserve">Stage 4: Dual-Constraint Filtering &amp; Ranking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stringent dual-constraint filtering: select genes with BOTH strong neuronal functional rescue (Stage 2) AND low microglial toxicity risk (Stage 3). Rank the surviving candidates by a composite scoring function balancing both criteria, using Pareto optimization to identify the non-dominated frontier of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Stage 2 rescue score table</w:t>
      </w:r>
    </w:p>
    <w:p>
      <w:pPr>
        <w:pStyle w:val="ListParagraph"/>
        <w:numPr>
          <w:ilvl w:val="0"/>
          <w:numId w:val="2"/>
        </w:numPr>
        <w:spacing w:after="100" w:line="360"/>
      </w:pPr>
      <w:r>
        <w:t xml:space="preserve">Stage 3 microglial toxicity risk assessment</w:t>
      </w:r>
    </w:p>
    <w:p>
      <w:pPr>
        <w:pStyle w:val="ListParagraph"/>
        <w:numPr>
          <w:ilvl w:val="0"/>
          <w:numId w:val="2"/>
        </w:numPr>
        <w:spacing w:after="100" w:line="360"/>
      </w:pPr>
      <w:r>
        <w:t xml:space="preserve">Threshold parameters: rescue score cutoff (e.g., top 50%), toxicity score cutoff (e.g., &lt; 0.4)</w:t>
      </w:r>
    </w:p>
    <w:p>
      <w:pPr>
        <w:pStyle w:val="ListParagraph"/>
        <w:numPr>
          <w:ilvl w:val="0"/>
          <w:numId w:val="2"/>
        </w:numPr>
        <w:spacing w:after="100" w:line="360"/>
      </w:pPr>
      <w:r>
        <w:t xml:space="preserve">Weighting scheme: relative importance of rescue vs. toxicity (e.g., 60% rescue, 40% safety)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Sapphire Dual-Constraint Scoring Engine</w:t>
      </w:r>
      <w:r>
        <w:rPr>
          <w:rFonts w:ascii="Arial" w:cs="Arial" w:eastAsia="Arial" w:hAnsi="Arial"/>
          <w:sz w:val="24"/>
          <w:szCs w:val="24"/>
        </w:rPr>
        <w:t xml:space="preserve"> — Algorithmic framework for joint optimization of rescue and safety metrics</w:t>
      </w:r>
    </w:p>
    <w:p>
      <w:pPr>
        <w:pStyle w:val="ListParagraph"/>
        <w:numPr>
          <w:ilvl w:val="0"/>
          <w:numId w:val="2"/>
        </w:numPr>
        <w:spacing w:after="100" w:line="360"/>
      </w:pPr>
      <w:r>
        <w:rPr>
          <w:rFonts w:ascii="Arial" w:cs="Arial" w:eastAsia="Arial" w:hAnsi="Arial"/>
          <w:b/>
          <w:bCs/>
          <w:sz w:val="24"/>
          <w:szCs w:val="24"/>
        </w:rPr>
        <w:t xml:space="preserve">Statistical Ranking &amp; Pareto Optimization</w:t>
      </w:r>
      <w:r>
        <w:rPr>
          <w:rFonts w:ascii="Arial" w:cs="Arial" w:eastAsia="Arial" w:hAnsi="Arial"/>
          <w:sz w:val="24"/>
          <w:szCs w:val="24"/>
        </w:rPr>
        <w:t xml:space="preserve"> — Identify non-dominated candidates and hierarchical ranking by composite score</w:t>
      </w:r>
    </w:p>
    <w:p>
      <w:pPr>
        <w:pStyle w:val="ListParagraph"/>
        <w:numPr>
          <w:ilvl w:val="0"/>
          <w:numId w:val="2"/>
        </w:numPr>
        <w:spacing w:after="100" w:line="360"/>
      </w:pPr>
      <w:r>
        <w:rPr>
          <w:rFonts w:ascii="Arial" w:cs="Arial" w:eastAsia="Arial" w:hAnsi="Arial"/>
          <w:b/>
          <w:bCs/>
          <w:sz w:val="24"/>
          <w:szCs w:val="24"/>
        </w:rPr>
        <w:t xml:space="preserve">Threshold Calibration Tools</w:t>
      </w:r>
      <w:r>
        <w:rPr>
          <w:rFonts w:ascii="Arial" w:cs="Arial" w:eastAsia="Arial" w:hAnsi="Arial"/>
          <w:sz w:val="24"/>
          <w:szCs w:val="24"/>
        </w:rPr>
        <w:t xml:space="preserve"> — Sensitivity analysis on cutoff parameters to define optimal filtering strategy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Filter Stage 2 genes: retain only those with rescue score &gt; 75th percentile</w:t>
      </w:r>
    </w:p>
    <w:p>
      <w:pPr>
        <w:pStyle w:val="ListParagraph"/>
        <w:numPr>
          <w:ilvl w:val="0"/>
          <w:numId w:val="2"/>
        </w:numPr>
        <w:spacing w:after="100" w:line="360"/>
      </w:pPr>
      <w:r>
        <w:t xml:space="preserve">Filter Stage 3 genes: retain only those with toxicity risk score &lt; 0.4 (low risk)</w:t>
      </w:r>
    </w:p>
    <w:p>
      <w:pPr>
        <w:pStyle w:val="ListParagraph"/>
        <w:numPr>
          <w:ilvl w:val="0"/>
          <w:numId w:val="2"/>
        </w:numPr>
        <w:spacing w:after="100" w:line="360"/>
      </w:pPr>
      <w:r>
        <w:t xml:space="preserve">Compute composite score: 0.6 × (rescue_score_normalized) + 0.4 × (1 − toxicity_score) for each surviving gene</w:t>
      </w:r>
    </w:p>
    <w:p>
      <w:pPr>
        <w:pStyle w:val="ListParagraph"/>
        <w:numPr>
          <w:ilvl w:val="0"/>
          <w:numId w:val="2"/>
        </w:numPr>
        <w:spacing w:after="100" w:line="360"/>
      </w:pPr>
      <w:r>
        <w:t xml:space="preserve">Rank by composite score (descending); identify Pareto frontier of non-dominated genes</w:t>
      </w:r>
    </w:p>
    <w:p>
      <w:pPr>
        <w:pStyle w:val="ListParagraph"/>
        <w:numPr>
          <w:ilvl w:val="0"/>
          <w:numId w:val="2"/>
        </w:numPr>
        <w:spacing w:after="100" w:line="360"/>
      </w:pPr>
      <w:r>
        <w:t xml:space="preserve">Sensitivity analysis: vary weighting and threshold parameters and report robust top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Final candidate list: ~20–50 genes meeting dual constraints (strong rescue, low microglial toxicity)</w:t>
      </w:r>
    </w:p>
    <w:p>
      <w:pPr>
        <w:pStyle w:val="ListParagraph"/>
        <w:numPr>
          <w:ilvl w:val="0"/>
          <w:numId w:val="2"/>
        </w:numPr>
        <w:spacing w:after="100" w:line="360"/>
      </w:pPr>
      <w:r>
        <w:t xml:space="preserve">Ranked table: gene symbol, rescue score, toxicity risk, composite score, overall rank</w:t>
      </w:r>
    </w:p>
    <w:p>
      <w:pPr>
        <w:pStyle w:val="ListParagraph"/>
        <w:numPr>
          <w:ilvl w:val="0"/>
          <w:numId w:val="2"/>
        </w:numPr>
        <w:spacing w:after="100" w:line="360"/>
      </w:pPr>
      <w:r>
        <w:t xml:space="preserve">Visualization: scatter plot of rescue vs. toxicity (Pareto frontier highlighted)</w:t>
      </w:r>
    </w:p>
    <w:p>
      <w:pPr>
        <w:pStyle w:val="ListParagraph"/>
        <w:numPr>
          <w:ilvl w:val="0"/>
          <w:numId w:val="2"/>
        </w:numPr>
        <w:spacing w:after="100" w:line="360"/>
      </w:pPr>
      <w:r>
        <w:t xml:space="preserve">Sensitivity analysis report: robustness of top candidates across parameter variations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TSV file with gene symbol, rescue score, toxicity score, composite score, rank, and Pareto status.</w:t>
      </w:r>
    </w:p>
    <w:p>
      <w:pPr>
        <w:spacing w:before="200" w:after="200"/>
      </w:pPr>
      <w:r>
        <w:rPr>
          <w:rFonts w:ascii="Arial" w:cs="Arial" w:eastAsia="Arial" w:hAnsi="Arial"/>
          <w:b/>
          <w:bCs/>
          <w:sz w:val="28"/>
          <w:szCs w:val="28"/>
        </w:rPr>
        <w:t xml:space="preserve">Stage 5: Druggability &amp; Therapeutic Strategy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all top-ranked dual-constraint genes, evaluate druggability: can this target be modulated with small molecules, antisense oligonucleotides (ASOs), monoclonal antibodies, or biologics? Assess binding site accessibility, existing chemical matter (ChEMBL, DrugBank), ligand-binding potential, and design preliminary therapeutic modulation strategies.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Stage 4 ranked dual-constraint candidate list (~20–50 genes)</w:t>
      </w:r>
    </w:p>
    <w:p>
      <w:pPr>
        <w:pStyle w:val="ListParagraph"/>
        <w:numPr>
          <w:ilvl w:val="0"/>
          <w:numId w:val="2"/>
        </w:numPr>
        <w:spacing w:after="100" w:line="360"/>
      </w:pPr>
      <w:r>
        <w:t xml:space="preserve">Gene structures, protein domains, and known ligands</w:t>
      </w:r>
    </w:p>
    <w:p>
      <w:pPr>
        <w:pStyle w:val="ListParagraph"/>
        <w:numPr>
          <w:ilvl w:val="0"/>
          <w:numId w:val="2"/>
        </w:numPr>
        <w:spacing w:after="100" w:line="360"/>
      </w:pPr>
      <w:r>
        <w:t xml:space="preserve">DrugBank and ChEMBL compound databases</w:t>
      </w:r>
    </w:p>
    <w:p>
      <w:pPr>
        <w:pStyle w:val="ListParagraph"/>
        <w:numPr>
          <w:ilvl w:val="0"/>
          <w:numId w:val="2"/>
        </w:numPr>
        <w:spacing w:after="100" w:line="360"/>
      </w:pPr>
      <w:r>
        <w:t xml:space="preserve">Clinical trial databases (ClinicalTrials.gov) for precedent drug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DrugBank</w:t>
      </w:r>
      <w:r>
        <w:rPr>
          <w:rFonts w:ascii="Arial" w:cs="Arial" w:eastAsia="Arial" w:hAnsi="Arial"/>
          <w:sz w:val="24"/>
          <w:szCs w:val="24"/>
        </w:rPr>
        <w:t xml:space="preserve"> — Retrieve approved drugs, clinical candidates, and drug-target interactions</w:t>
      </w:r>
    </w:p>
    <w:p>
      <w:pPr>
        <w:pStyle w:val="ListParagraph"/>
        <w:numPr>
          <w:ilvl w:val="0"/>
          <w:numId w:val="2"/>
        </w:numPr>
        <w:spacing w:after="100" w:line="360"/>
      </w:pPr>
      <w:r>
        <w:rPr>
          <w:rFonts w:ascii="Arial" w:cs="Arial" w:eastAsia="Arial" w:hAnsi="Arial"/>
          <w:b/>
          <w:bCs/>
          <w:sz w:val="24"/>
          <w:szCs w:val="24"/>
        </w:rPr>
        <w:t xml:space="preserve">ChEMBL</w:t>
      </w:r>
      <w:r>
        <w:rPr>
          <w:rFonts w:ascii="Arial" w:cs="Arial" w:eastAsia="Arial" w:hAnsi="Arial"/>
          <w:sz w:val="24"/>
          <w:szCs w:val="24"/>
        </w:rPr>
        <w:t xml:space="preserve"> — Search for bioactive compounds and binding affinities to target genes</w:t>
      </w:r>
    </w:p>
    <w:p>
      <w:pPr>
        <w:pStyle w:val="ListParagraph"/>
        <w:numPr>
          <w:ilvl w:val="0"/>
          <w:numId w:val="2"/>
        </w:numPr>
        <w:spacing w:after="100" w:line="360"/>
      </w:pPr>
      <w:r>
        <w:rPr>
          <w:rFonts w:ascii="Arial" w:cs="Arial" w:eastAsia="Arial" w:hAnsi="Arial"/>
          <w:b/>
          <w:bCs/>
          <w:sz w:val="24"/>
          <w:szCs w:val="24"/>
        </w:rPr>
        <w:t xml:space="preserve">DGIdb</w:t>
      </w:r>
      <w:r>
        <w:rPr>
          <w:rFonts w:ascii="Arial" w:cs="Arial" w:eastAsia="Arial" w:hAnsi="Arial"/>
          <w:sz w:val="24"/>
          <w:szCs w:val="24"/>
        </w:rPr>
        <w:t xml:space="preserve"> — Drug-gene interaction database with interaction evidence and modality classification</w:t>
      </w:r>
    </w:p>
    <w:p>
      <w:pPr>
        <w:pStyle w:val="ListParagraph"/>
        <w:numPr>
          <w:ilvl w:val="0"/>
          <w:numId w:val="2"/>
        </w:numPr>
        <w:spacing w:after="100" w:line="360"/>
      </w:pPr>
      <w:r>
        <w:rPr>
          <w:rFonts w:ascii="Arial" w:cs="Arial" w:eastAsia="Arial" w:hAnsi="Arial"/>
          <w:b/>
          <w:bCs/>
          <w:sz w:val="24"/>
          <w:szCs w:val="24"/>
        </w:rPr>
        <w:t xml:space="preserve">Quiver ASO Design Module</w:t>
      </w:r>
      <w:r>
        <w:rPr>
          <w:rFonts w:ascii="Arial" w:cs="Arial" w:eastAsia="Arial" w:hAnsi="Arial"/>
          <w:sz w:val="24"/>
          <w:szCs w:val="24"/>
        </w:rPr>
        <w:t xml:space="preserve"> — Design antisense oligonucleotide sequences targeting top genes for knockdown</w:t>
      </w:r>
    </w:p>
    <w:p>
      <w:pPr>
        <w:pStyle w:val="ListParagraph"/>
        <w:numPr>
          <w:ilvl w:val="0"/>
          <w:numId w:val="2"/>
        </w:numPr>
        <w:spacing w:after="100" w:line="360"/>
      </w:pPr>
      <w:r>
        <w:rPr>
          <w:rFonts w:ascii="Arial" w:cs="Arial" w:eastAsia="Arial" w:hAnsi="Arial"/>
          <w:b/>
          <w:bCs/>
          <w:sz w:val="24"/>
          <w:szCs w:val="24"/>
        </w:rPr>
        <w:t xml:space="preserve">Open Targets Platform</w:t>
      </w:r>
      <w:r>
        <w:rPr>
          <w:rFonts w:ascii="Arial" w:cs="Arial" w:eastAsia="Arial" w:hAnsi="Arial"/>
          <w:sz w:val="24"/>
          <w:szCs w:val="24"/>
        </w:rPr>
        <w:t xml:space="preserve"> — Integrated drug-target predictions and mechanistic evidence</w:t>
      </w:r>
    </w:p>
    <w:p>
      <w:pPr>
        <w:pStyle w:val="ListParagraph"/>
        <w:numPr>
          <w:ilvl w:val="0"/>
          <w:numId w:val="2"/>
        </w:numPr>
        <w:spacing w:after="100" w:line="360"/>
      </w:pPr>
      <w:r>
        <w:rPr>
          <w:rFonts w:ascii="Arial" w:cs="Arial" w:eastAsia="Arial" w:hAnsi="Arial"/>
          <w:b/>
          <w:bCs/>
          <w:sz w:val="24"/>
          <w:szCs w:val="24"/>
        </w:rPr>
        <w:t xml:space="preserve">ClinicalTrials.gov</w:t>
      </w:r>
      <w:r>
        <w:rPr>
          <w:rFonts w:ascii="Arial" w:cs="Arial" w:eastAsia="Arial" w:hAnsi="Arial"/>
          <w:sz w:val="24"/>
          <w:szCs w:val="24"/>
        </w:rPr>
        <w:t xml:space="preserve"> — Identify ongoing clinical trials targeting related genes or pathways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For each top-ranked gene, retrieve all known inhibitors, activators, or modulators from ChEMBL and DrugBank</w:t>
      </w:r>
    </w:p>
    <w:p>
      <w:pPr>
        <w:pStyle w:val="ListParagraph"/>
        <w:numPr>
          <w:ilvl w:val="0"/>
          <w:numId w:val="2"/>
        </w:numPr>
        <w:spacing w:after="100" w:line="360"/>
      </w:pPr>
      <w:r>
        <w:t xml:space="preserve">Classify druggability: is the gene a kinase, GPCR, transcription factor, cytokine, or other tractable modality?</w:t>
      </w:r>
    </w:p>
    <w:p>
      <w:pPr>
        <w:pStyle w:val="ListParagraph"/>
        <w:numPr>
          <w:ilvl w:val="0"/>
          <w:numId w:val="2"/>
        </w:numPr>
        <w:spacing w:after="100" w:line="360"/>
      </w:pPr>
      <w:r>
        <w:t xml:space="preserve">Design ASO sequences targeting splice variants or gene expression reduction</w:t>
      </w:r>
    </w:p>
    <w:p>
      <w:pPr>
        <w:pStyle w:val="ListParagraph"/>
        <w:numPr>
          <w:ilvl w:val="0"/>
          <w:numId w:val="2"/>
        </w:numPr>
        <w:spacing w:after="100" w:line="360"/>
      </w:pPr>
      <w:r>
        <w:t xml:space="preserve">Search ClinicalTrials.gov for ongoing or completed trials on related 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Druggability assessment table: gene symbol, protein class, ligand-binding potential, known modulators, recommended modality</w:t>
      </w:r>
    </w:p>
    <w:p>
      <w:pPr>
        <w:pStyle w:val="ListParagraph"/>
        <w:numPr>
          <w:ilvl w:val="0"/>
          <w:numId w:val="2"/>
        </w:numPr>
        <w:spacing w:after="100" w:line="360"/>
      </w:pPr>
      <w:r>
        <w:t xml:space="preserve">Therapeutic strategy proposals: one per top gene (e.g., small-molecule inhibitor, ASO, monoclonal antibody)</w:t>
      </w:r>
    </w:p>
    <w:p>
      <w:pPr>
        <w:pStyle w:val="ListParagraph"/>
        <w:numPr>
          <w:ilvl w:val="0"/>
          <w:numId w:val="2"/>
        </w:numPr>
        <w:spacing w:after="100" w:line="360"/>
      </w:pPr>
      <w:r>
        <w:t xml:space="preserve">Chemical matter summary: known compounds targeting each gene, binding affinities, cell permeability</w:t>
      </w:r>
    </w:p>
    <w:p>
      <w:pPr>
        <w:pStyle w:val="ListParagraph"/>
        <w:numPr>
          <w:ilvl w:val="0"/>
          <w:numId w:val="2"/>
        </w:numPr>
        <w:spacing w:after="100" w:line="360"/>
      </w:pPr>
      <w:r>
        <w:t xml:space="preserve">Precedent in clinic: links to ClinicalTrials.gov entries for related targets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TSV file with gene symbol, protein class, ligand-binding potential, known compounds, recommended modality, and clinical trial links.</w:t>
      </w:r>
    </w:p>
    <w:p>
      <w:pPr>
        <w:spacing w:before="200" w:after="200"/>
      </w:pPr>
      <w:r>
        <w:rPr>
          <w:rFonts w:ascii="Arial" w:cs="Arial" w:eastAsia="Arial" w:hAnsi="Arial"/>
          <w:b/>
          <w:bCs/>
          <w:sz w:val="28"/>
          <w:szCs w:val="28"/>
        </w:rPr>
        <w:t xml:space="preserve">Stage 6: Confidence Assessment &amp; Validation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Assign confidence scores to each final candidate, quantifying evidence strength and data completeness. Identify data gaps and design follow-up validation experiments (e.g., neuron-microglia co-culture assays, in vivo microglial characterization) to confirm dual-constraint optimization before preclinical development.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t xml:space="preserve">Stage 5 druggability assessment and all upstream stage outputs</w:t>
      </w:r>
    </w:p>
    <w:p>
      <w:pPr>
        <w:pStyle w:val="ListParagraph"/>
        <w:numPr>
          <w:ilvl w:val="0"/>
          <w:numId w:val="2"/>
        </w:numPr>
        <w:spacing w:after="100" w:line="360"/>
      </w:pPr>
      <w:r>
        <w:t xml:space="preserve">Data completeness metrics: coverage from each stage (Stage 1–5)</w:t>
      </w:r>
    </w:p>
    <w:p>
      <w:pPr>
        <w:pStyle w:val="ListParagraph"/>
        <w:numPr>
          <w:ilvl w:val="0"/>
          <w:numId w:val="2"/>
        </w:numPr>
        <w:spacing w:after="100" w:line="360"/>
      </w:pPr>
      <w:r>
        <w:t xml:space="preserve">Validation protocol templates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Sapphire Confidence Scoring System</w:t>
      </w:r>
      <w:r>
        <w:rPr>
          <w:rFonts w:ascii="Arial" w:cs="Arial" w:eastAsia="Arial" w:hAnsi="Arial"/>
          <w:sz w:val="24"/>
          <w:szCs w:val="24"/>
        </w:rPr>
        <w:t xml:space="preserve"> — Multi-stage evidence aggregation and confidence calculation</w:t>
      </w:r>
    </w:p>
    <w:p>
      <w:pPr>
        <w:pStyle w:val="ListParagraph"/>
        <w:numPr>
          <w:ilvl w:val="0"/>
          <w:numId w:val="2"/>
        </w:numPr>
        <w:spacing w:after="100" w:line="360"/>
      </w:pPr>
      <w:r>
        <w:rPr>
          <w:rFonts w:ascii="Arial" w:cs="Arial" w:eastAsia="Arial" w:hAnsi="Arial"/>
          <w:b/>
          <w:bCs/>
          <w:sz w:val="24"/>
          <w:szCs w:val="24"/>
        </w:rPr>
        <w:t xml:space="preserve">Quiver Validation Protocols</w:t>
      </w:r>
      <w:r>
        <w:rPr>
          <w:rFonts w:ascii="Arial" w:cs="Arial" w:eastAsia="Arial" w:hAnsi="Arial"/>
          <w:sz w:val="24"/>
          <w:szCs w:val="24"/>
        </w:rPr>
        <w:t xml:space="preserve"> — Standardized experimental designs for neuron-microglia interactions, microglial activation, phagocytosis assays</w:t>
      </w:r>
    </w:p>
    <w:p>
      <w:pPr>
        <w:pStyle w:val="ListParagraph"/>
        <w:numPr>
          <w:ilvl w:val="0"/>
          <w:numId w:val="2"/>
        </w:numPr>
        <w:spacing w:after="100" w:line="360"/>
      </w:pPr>
      <w:r>
        <w:rPr>
          <w:rFonts w:ascii="Arial" w:cs="Arial" w:eastAsia="Arial" w:hAnsi="Arial"/>
          <w:b/>
          <w:bCs/>
          <w:sz w:val="24"/>
          <w:szCs w:val="24"/>
        </w:rPr>
        <w:t xml:space="preserve">Recommended Experimental Designs</w:t>
      </w:r>
      <w:r>
        <w:rPr>
          <w:rFonts w:ascii="Arial" w:cs="Arial" w:eastAsia="Arial" w:hAnsi="Arial"/>
          <w:sz w:val="24"/>
          <w:szCs w:val="24"/>
        </w:rPr>
        <w:t xml:space="preserve"> — Co-culture assay protocols, flow cytometry markers, qPCR validation targets, in vivo microglial characterization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t xml:space="preserve">For each final candidate, calculate confidence score: weighted average of Stage 1–5 evidence completeness and robustness</w:t>
      </w:r>
    </w:p>
    <w:p>
      <w:pPr>
        <w:pStyle w:val="ListParagraph"/>
        <w:numPr>
          <w:ilvl w:val="0"/>
          <w:numId w:val="2"/>
        </w:numPr>
        <w:spacing w:after="100" w:line="360"/>
      </w:pPr>
      <w:r>
        <w:t xml:space="preserve">Identify data gaps: which genes lack microglial co-culture data? Which lack clinical precedent?</w:t>
      </w:r>
    </w:p>
    <w:p>
      <w:pPr>
        <w:pStyle w:val="ListParagraph"/>
        <w:numPr>
          <w:ilvl w:val="0"/>
          <w:numId w:val="2"/>
        </w:numPr>
        <w:spacing w:after="100" w:line="360"/>
      </w:pPr>
      <w:r>
        <w:t xml:space="preserve">Design validation experiments: propose neuron-microglia co-culture assays, microglial activation markers (flow cytometry), phagocytosis assays, in vivo characterization</w:t>
      </w:r>
    </w:p>
    <w:p>
      <w:pPr>
        <w:pStyle w:val="ListParagraph"/>
        <w:numPr>
          <w:ilvl w:val="0"/>
          <w:numId w:val="2"/>
        </w:numPr>
        <w:spacing w:after="100" w:line="360"/>
      </w:pPr>
      <w:r>
        <w:t xml:space="preserve">Recommend timeframe and resource allocation for validation experiments per gene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t xml:space="preserve">Final candidate list with confidence scores (0–1 scale, where 1 = highest confidence)</w:t>
      </w:r>
    </w:p>
    <w:p>
      <w:pPr>
        <w:pStyle w:val="ListParagraph"/>
        <w:numPr>
          <w:ilvl w:val="0"/>
          <w:numId w:val="2"/>
        </w:numPr>
        <w:spacing w:after="100" w:line="360"/>
      </w:pPr>
      <w:r>
        <w:t xml:space="preserve">Confidence breakdown: Stage 1 evidence strength, Stage 2 rescue robustness, Stage 3 toxicity data completeness, Stage 5 druggability potential</w:t>
      </w:r>
    </w:p>
    <w:p>
      <w:pPr>
        <w:pStyle w:val="ListParagraph"/>
        <w:numPr>
          <w:ilvl w:val="0"/>
          <w:numId w:val="2"/>
        </w:numPr>
        <w:spacing w:after="100" w:line="360"/>
      </w:pPr>
      <w:r>
        <w:t xml:space="preserve">Data gap report: genes requiring additional validation, prioritized by dual-constraint ranking</w:t>
      </w:r>
    </w:p>
    <w:p>
      <w:pPr>
        <w:pStyle w:val="ListParagraph"/>
        <w:numPr>
          <w:ilvl w:val="0"/>
          <w:numId w:val="2"/>
        </w:numPr>
        <w:spacing w:after="100" w:line="360"/>
      </w:pPr>
      <w:r>
        <w:t xml:space="preserve">Validation protocol templates: detailed experimental procedures for neuron-microglia co-culture assays, microglial toxicity readouts, in vivo microglial characterization</w:t>
      </w:r>
    </w:p>
    <w:p>
      <w:pPr>
        <w:pStyle w:val="ListParagraph"/>
        <w:numPr>
          <w:ilvl w:val="0"/>
          <w:numId w:val="2"/>
        </w:numPr>
        <w:spacing w:after="100" w:line="360"/>
      </w:pPr>
      <w:r>
        <w:t xml:space="preserve">Recommended next steps: prioritized list of validation experiments and estimated timelines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Master TSV with gene symbol, composite rank, confidence score, confidence components, data gaps, and validation recommendations.</w:t>
      </w:r>
    </w:p>
    <w:p>
      <w:pPr>
        <w:spacing w:before="200" w:after="200"/>
      </w:pPr>
      <w:r>
        <w:rPr>
          <w:rFonts w:ascii="Arial" w:cs="Arial" w:eastAsia="Arial" w:hAnsi="Arial"/>
          <w:b/>
          <w:bCs/>
          <w:sz w:val="28"/>
          <w:szCs w:val="28"/>
        </w:rPr>
        <w:t xml:space="preserve">Tools &amp; Databases Summary</w:t>
      </w:r>
    </w:p>
    <w:p>
      <w:pPr>
        <w:pStyle w:val="ListParagraph"/>
        <w:numPr>
          <w:ilvl w:val="0"/>
          <w:numId w:val="2"/>
        </w:numPr>
        <w:spacing w:after="100" w:line="360"/>
      </w:pPr>
      <w:r>
        <w:t xml:space="preserve">KEGG (Kyoto Encyclopedia of Genes and Genomes) — pathway annotations and disease networks</w:t>
      </w:r>
    </w:p>
    <w:p>
      <w:pPr>
        <w:pStyle w:val="ListParagraph"/>
        <w:numPr>
          <w:ilvl w:val="0"/>
          <w:numId w:val="2"/>
        </w:numPr>
        <w:spacing w:after="100" w:line="360"/>
      </w:pPr>
      <w:r>
        <w:t xml:space="preserve">Reactome — mechanistic pathway database for signal transduction and immune responses</w:t>
      </w:r>
    </w:p>
    <w:p>
      <w:pPr>
        <w:pStyle w:val="ListParagraph"/>
        <w:numPr>
          <w:ilvl w:val="0"/>
          <w:numId w:val="2"/>
        </w:numPr>
        <w:spacing w:after="100" w:line="360"/>
      </w:pPr>
      <w:r>
        <w:t xml:space="preserve">Gene Ontology — standardized functional and biological process annotations</w:t>
      </w:r>
    </w:p>
    <w:p>
      <w:pPr>
        <w:pStyle w:val="ListParagraph"/>
        <w:numPr>
          <w:ilvl w:val="0"/>
          <w:numId w:val="2"/>
        </w:numPr>
        <w:spacing w:after="100" w:line="360"/>
      </w:pPr>
      <w:r>
        <w:t xml:space="preserve">DisGeNET — disease-gene associations and relationship evidence</w:t>
      </w:r>
    </w:p>
    <w:p>
      <w:pPr>
        <w:pStyle w:val="ListParagraph"/>
        <w:numPr>
          <w:ilvl w:val="0"/>
          <w:numId w:val="2"/>
        </w:numPr>
        <w:spacing w:after="100" w:line="360"/>
      </w:pPr>
      <w:r>
        <w:t xml:space="preserve">PubMed — comprehensive biomedical literature database</w:t>
      </w:r>
    </w:p>
    <w:p>
      <w:pPr>
        <w:pStyle w:val="ListParagraph"/>
        <w:numPr>
          <w:ilvl w:val="0"/>
          <w:numId w:val="2"/>
        </w:numPr>
        <w:spacing w:after="100" w:line="360"/>
      </w:pPr>
      <w:r>
        <w:t xml:space="preserve">MSigDB — curated gene signature collections for biological pathways and disease states</w:t>
      </w:r>
    </w:p>
    <w:p>
      <w:pPr>
        <w:pStyle w:val="ListParagraph"/>
        <w:numPr>
          <w:ilvl w:val="0"/>
          <w:numId w:val="2"/>
        </w:numPr>
        <w:spacing w:after="100" w:line="360"/>
      </w:pPr>
      <w:r>
        <w:t xml:space="preserve">Quiver CRISPR EP Atlas — functional screening data for neuronal excitability phenotypes</w:t>
      </w:r>
    </w:p>
    <w:p>
      <w:pPr>
        <w:pStyle w:val="ListParagraph"/>
        <w:numPr>
          <w:ilvl w:val="0"/>
          <w:numId w:val="2"/>
        </w:numPr>
        <w:spacing w:after="100" w:line="360"/>
      </w:pPr>
      <w:r>
        <w:t xml:space="preserve">Quiver EP Rescue Scoring Module — automated phenotype quantification and rescue assessment</w:t>
      </w:r>
    </w:p>
    <w:p>
      <w:pPr>
        <w:pStyle w:val="ListParagraph"/>
        <w:numPr>
          <w:ilvl w:val="0"/>
          <w:numId w:val="2"/>
        </w:numPr>
        <w:spacing w:after="100" w:line="360"/>
      </w:pPr>
      <w:r>
        <w:t xml:space="preserve">Quiver EP Feature Extraction Pipeline — electrophysiological data processing and normalization</w:t>
      </w:r>
    </w:p>
    <w:p>
      <w:pPr>
        <w:pStyle w:val="ListParagraph"/>
        <w:numPr>
          <w:ilvl w:val="0"/>
          <w:numId w:val="2"/>
        </w:numPr>
        <w:spacing w:after="100" w:line="360"/>
      </w:pPr>
      <w:r>
        <w:t xml:space="preserve">Published Microglial RNA-seq Datasets (Gosselin et al., Galatro et al.) — transcriptomic profiles of microglial activation states</w:t>
      </w:r>
    </w:p>
    <w:p>
      <w:pPr>
        <w:pStyle w:val="ListParagraph"/>
        <w:numPr>
          <w:ilvl w:val="0"/>
          <w:numId w:val="2"/>
        </w:numPr>
        <w:spacing w:after="100" w:line="360"/>
      </w:pPr>
      <w:r>
        <w:t xml:space="preserve">Human Protein Atlas — cell type-specific protein expression and localization</w:t>
      </w:r>
    </w:p>
    <w:p>
      <w:pPr>
        <w:pStyle w:val="ListParagraph"/>
        <w:numPr>
          <w:ilvl w:val="0"/>
          <w:numId w:val="2"/>
        </w:numPr>
        <w:spacing w:after="100" w:line="360"/>
      </w:pPr>
      <w:r>
        <w:t xml:space="preserve">Single-Cell RNA-seq Atlases (Galatro, Masuda) — microglial cell state identification and heterogeneity</w:t>
      </w:r>
    </w:p>
    <w:p>
      <w:pPr>
        <w:pStyle w:val="ListParagraph"/>
        <w:numPr>
          <w:ilvl w:val="0"/>
          <w:numId w:val="2"/>
        </w:numPr>
        <w:spacing w:after="100" w:line="360"/>
      </w:pPr>
      <w:r>
        <w:t xml:space="preserve">Quiver Neuron-Microglia Co-Culture Data — functional microglial responses to neuronal perturbations</w:t>
      </w:r>
    </w:p>
    <w:p>
      <w:pPr>
        <w:pStyle w:val="ListParagraph"/>
        <w:numPr>
          <w:ilvl w:val="0"/>
          <w:numId w:val="2"/>
        </w:numPr>
        <w:spacing w:after="100" w:line="360"/>
      </w:pPr>
      <w:r>
        <w:t xml:space="preserve">Sapphire Dual-Constraint Scoring Engine — joint optimization and ranking framework</w:t>
      </w:r>
    </w:p>
    <w:p>
      <w:pPr>
        <w:pStyle w:val="ListParagraph"/>
        <w:numPr>
          <w:ilvl w:val="0"/>
          <w:numId w:val="2"/>
        </w:numPr>
        <w:spacing w:after="100" w:line="360"/>
      </w:pPr>
      <w:r>
        <w:t xml:space="preserve">DrugBank — approved and investigational drug-target interactions</w:t>
      </w:r>
    </w:p>
    <w:p>
      <w:pPr>
        <w:pStyle w:val="ListParagraph"/>
        <w:numPr>
          <w:ilvl w:val="0"/>
          <w:numId w:val="2"/>
        </w:numPr>
        <w:spacing w:after="100" w:line="360"/>
      </w:pPr>
      <w:r>
        <w:t xml:space="preserve">ChEMBL — bioactive small molecules and binding affinity data</w:t>
      </w:r>
    </w:p>
    <w:p>
      <w:pPr>
        <w:pStyle w:val="ListParagraph"/>
        <w:numPr>
          <w:ilvl w:val="0"/>
          <w:numId w:val="2"/>
        </w:numPr>
        <w:spacing w:after="100" w:line="360"/>
      </w:pPr>
      <w:r>
        <w:t xml:space="preserve">DGIdb — drug-gene interaction database with modality classification</w:t>
      </w:r>
    </w:p>
    <w:p>
      <w:pPr>
        <w:pStyle w:val="ListParagraph"/>
        <w:numPr>
          <w:ilvl w:val="0"/>
          <w:numId w:val="2"/>
        </w:numPr>
        <w:spacing w:after="100" w:line="360"/>
      </w:pPr>
      <w:r>
        <w:t xml:space="preserve">Quiver ASO Design Module — antisense oligonucleotide sequence design and optimization</w:t>
      </w:r>
    </w:p>
    <w:p>
      <w:pPr>
        <w:pStyle w:val="ListParagraph"/>
        <w:numPr>
          <w:ilvl w:val="0"/>
          <w:numId w:val="2"/>
        </w:numPr>
        <w:spacing w:after="100" w:line="360"/>
      </w:pPr>
      <w:r>
        <w:t xml:space="preserve">Open Targets Platform — drug-target evidence integration and mechanism prediction</w:t>
      </w:r>
    </w:p>
    <w:p>
      <w:pPr>
        <w:pStyle w:val="ListParagraph"/>
        <w:numPr>
          <w:ilvl w:val="0"/>
          <w:numId w:val="2"/>
        </w:numPr>
        <w:spacing w:after="100" w:line="360"/>
      </w:pPr>
      <w:r>
        <w:t xml:space="preserve">ClinicalTrials.gov — active and completed clinical trial registry</w:t>
      </w:r>
    </w:p>
    <w:p>
      <w:pPr>
        <w:pStyle w:val="ListParagraph"/>
        <w:numPr>
          <w:ilvl w:val="0"/>
          <w:numId w:val="2"/>
        </w:numPr>
        <w:spacing w:after="100" w:line="360"/>
      </w:pPr>
      <w:r>
        <w:t xml:space="preserve">Sapphire Confidence Scoring System — multi-stage evidence aggregation and confidence calculation</w:t>
      </w:r>
    </w:p>
    <w:p>
      <w:pPr>
        <w:pStyle w:val="ListParagraph"/>
        <w:numPr>
          <w:ilvl w:val="0"/>
          <w:numId w:val="2"/>
        </w:numPr>
        <w:spacing w:after="100" w:line="360"/>
      </w:pPr>
      <w:r>
        <w:t xml:space="preserve">Quiver Validation Protocols — standardized experimental designs for co-culture assays and microglial characterization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2026-02-19T01:16:45.727Z</dcterms:created>
  <dcterms:modified xsi:type="dcterms:W3CDTF">2026-02-19T01:16:45.727Z</dcterms:modified>
</cp:coreProperties>
</file>

<file path=docProps/custom.xml><?xml version="1.0" encoding="utf-8"?>
<Properties xmlns="http://schemas.openxmlformats.org/officeDocument/2006/custom-properties" xmlns:vt="http://schemas.openxmlformats.org/officeDocument/2006/docPropsVTypes"/>
</file>