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"Among 18k gene perturbations, which 50 genes most strongly improve neuronal firing stability without reducing network connectivity?"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queries Quiver's full 18,000-gene CRISPR perturbation atlas to identify the top 50 genes that improve firing stability while preserving network connectivity. The workflow implements a dual-objective optimization approach, balancing neuronal electrophysiology improvements against the critical requirement to maintain functional network properties.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pipeline consists of six sequential stages: (1) feature definition and metric extraction from 18k perturbations, (2) firing stability ranking with statistical filtering, (3) network connectivity preservation filtering, (4) dual-objective selection of top 50 candidates, (5) biological characterization and pathway enrichment, and (6) therapeutic prioritization with confidence scoring.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Electrophysiology Feature Definition &amp; Metric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quantitative metrics for firing stability and network connectivity across all 18,000 gene perturbations. Extract standardized electrophysiology features from Quiver's full dataset to serve as inputs for comparative ranking.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Quiver CRISPR Electrophysiology Atlas (18k perturbations)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Baseline unperturbed neuron recordings (reference dataset)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Multi-electrode array (MEA) spike recordings and network activity traces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Metadata: gene ID, perturbation type, cell type, recording conditions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EP Atlas: </w:t>
      </w:r>
      <w:r>
        <w:rPr>
          <w:rFonts w:ascii="Arial" w:cs="Arial" w:eastAsia="Arial" w:hAnsi="Arial"/>
          <w:sz w:val="24"/>
          <w:szCs w:val="24"/>
        </w:rPr>
        <w:t xml:space="preserve">Full 18k gene perturbation electrophysiology dataset with raw spike times and network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Feature Extraction Pipeline: </w:t>
      </w:r>
      <w:r>
        <w:rPr>
          <w:rFonts w:ascii="Arial" w:cs="Arial" w:eastAsia="Arial" w:hAnsi="Arial"/>
          <w:sz w:val="24"/>
          <w:szCs w:val="24"/>
        </w:rPr>
        <w:t xml:space="preserve">Automated processing of spike trains to compute standardized electrophysiology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 Metric Definitions: </w:t>
      </w:r>
      <w:r>
        <w:rPr>
          <w:rFonts w:ascii="Arial" w:cs="Arial" w:eastAsia="Arial" w:hAnsi="Arial"/>
          <w:sz w:val="24"/>
          <w:szCs w:val="24"/>
        </w:rPr>
        <w:t xml:space="preserve">Coefficients of variation of inter-spike intervals, burst regularity index, firing rate consistency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"For each of the 18,000 perturbations, compute the coefficient of variation of inter-spike intervals as a measure of firing regularity."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"Extract burst regularity index and firing rate stability metrics from all spike train recordings."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"Compute network synchrony index and functional connectivity from MEA recordings for baseline and all perturbations."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18,000 × N-metric feature matrix (firing stability: CV-ISI, burst regularity, firing consistency; network connectivity: synchrony, functional connectivity, cross-correlation, burst participation)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Baseline reference metrics for unperturbed neurons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Quality control metrics and completeness flags (missing data, low SNR recordings)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HDF5 or CSV with rows=genes, columns=metrics, indexed by gene ID and perturbation ID for seamless downstream integration.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Firing Stability Improvement Ranking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all 18,000 gene perturbations by their effect on firing stability relative to baseline neurons. Apply statistical significance filtering to identify genuine improvements.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18,000 × N-metric feature matrix from Stage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Baseline metrics (unperturbed reference)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Statistical significance threshold (FDR-corrected p &lt; 0.05)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Atlas: </w:t>
      </w:r>
      <w:r>
        <w:rPr>
          <w:rFonts w:ascii="Arial" w:cs="Arial" w:eastAsia="Arial" w:hAnsi="Arial"/>
          <w:sz w:val="24"/>
          <w:szCs w:val="24"/>
        </w:rPr>
        <w:t xml:space="preserve">Access to baseline and perturbation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 Stats: </w:t>
      </w:r>
      <w:r>
        <w:rPr>
          <w:rFonts w:ascii="Arial" w:cs="Arial" w:eastAsia="Arial" w:hAnsi="Arial"/>
          <w:sz w:val="24"/>
          <w:szCs w:val="24"/>
        </w:rPr>
        <w:t xml:space="preserve">T-tests, Mann-Whitney U tests, effect size computation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Benjamini-Hochberg FDR Correction: </w:t>
      </w:r>
      <w:r>
        <w:rPr>
          <w:rFonts w:ascii="Arial" w:cs="Arial" w:eastAsia="Arial" w:hAnsi="Arial"/>
          <w:sz w:val="24"/>
          <w:szCs w:val="24"/>
        </w:rPr>
        <w:t xml:space="preserve">Multiple testing correction to control false discovery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Effect Size Calculation (Cohen's d): </w:t>
      </w:r>
      <w:r>
        <w:rPr>
          <w:rFonts w:ascii="Arial" w:cs="Arial" w:eastAsia="Arial" w:hAnsi="Arial"/>
          <w:sz w:val="24"/>
          <w:szCs w:val="24"/>
        </w:rPr>
        <w:t xml:space="preserve">Standardized measure of improvement magnitude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"For each perturbation, compute Cohen's d effect size comparing firing stability against baseline unperturbed neurons."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"Apply Benjamini-Hochberg FDR correction at alpha=0.05 to identify statistically significant firing stability improvements."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"Rank all 18,000 perturbations by effect size of firing stability improvement, filtering to retain only FDR-significant results."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Ranked list of genes (18k entries) with effect size, p-value, FDR-corrected p, significance flag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Filtered list of FDR-significant firing stability improvements (likely 2k–5k genes passing threshold)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Statistical summary: number of significant genes, median effect size, distribution plots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or DataFrame with columns: gene_id, effect_size, p_value, fdr_corrected_p, significant_flag, ranked_order.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Network Connectivity Preservation Filtering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Filter the firing stability-improving genes to exclude those that compromise network connectivity. Apply a quantitative threshold to ensure preserved functional connectivity.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Firing stability-ranked gene list (FDR-significant, from Stage 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Network connectivity metrics for all perturbations (synchrony, functional connectivity, burst participation)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Baseline network connectivity reference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Connectivity preservation threshold (e.g., &gt;80% of baseline)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Atlas: </w:t>
      </w:r>
      <w:r>
        <w:rPr>
          <w:rFonts w:ascii="Arial" w:cs="Arial" w:eastAsia="Arial" w:hAnsi="Arial"/>
          <w:sz w:val="24"/>
          <w:szCs w:val="24"/>
        </w:rPr>
        <w:t xml:space="preserve">Network metrics for all perturbations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Network Analysis Module: </w:t>
      </w:r>
      <w:r>
        <w:rPr>
          <w:rFonts w:ascii="Arial" w:cs="Arial" w:eastAsia="Arial" w:hAnsi="Arial"/>
          <w:sz w:val="24"/>
          <w:szCs w:val="24"/>
        </w:rPr>
        <w:t xml:space="preserve">Compute and compare connectivity metrics across perturbations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Connectivity Threshold Calibration: </w:t>
      </w:r>
      <w:r>
        <w:rPr>
          <w:rFonts w:ascii="Arial" w:cs="Arial" w:eastAsia="Arial" w:hAnsi="Arial"/>
          <w:sz w:val="24"/>
          <w:szCs w:val="24"/>
        </w:rPr>
        <w:t xml:space="preserve">Define and validate &gt;80% baseline connectivity preservation cutoff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"For each firing-stability-improving gene, calculate the change in network connectivity (synchrony, functional connectivity, cross-correlation) relative to baseline."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"Filter the list to retain only genes that maintain &gt;80% of baseline network connectivity."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"Flag genes that degrade network connectivity for potential exclusion from final top-50 selection."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Filtered gene list with firing stability rank + connectivity preservation flag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Genes excluded due to connectivity degradation (below 80% threshold)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Network connectivity metrics for all retained candidates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with columns: gene_id, firing_stability_rank, connectivity_baseline_percent, preserved_flag, excluded_reason.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Dual-Objective Top-50 Selection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Apply Pareto optimization or weighted composite scoring to select the top 50 genes that maximize firing stability improvement while minimizing connectivity loss.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Connectivity-preserved firing stability-ranked gene list (from Stage 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Firing stability effect sizes and connectivity preservation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Weighting preferences (importance of stability vs. connectivity preservation)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Dual-Objective Scoring Engine: </w:t>
      </w:r>
      <w:r>
        <w:rPr>
          <w:rFonts w:ascii="Arial" w:cs="Arial" w:eastAsia="Arial" w:hAnsi="Arial"/>
          <w:sz w:val="24"/>
          <w:szCs w:val="24"/>
        </w:rPr>
        <w:t xml:space="preserve">Weighted composite scoring and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Pareto Frontier Analysis: </w:t>
      </w:r>
      <w:r>
        <w:rPr>
          <w:rFonts w:ascii="Arial" w:cs="Arial" w:eastAsia="Arial" w:hAnsi="Arial"/>
          <w:sz w:val="24"/>
          <w:szCs w:val="24"/>
        </w:rPr>
        <w:t xml:space="preserve">Identify non-dominated genes across both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Weighted Rank Aggregation: </w:t>
      </w:r>
      <w:r>
        <w:rPr>
          <w:rFonts w:ascii="Arial" w:cs="Arial" w:eastAsia="Arial" w:hAnsi="Arial"/>
          <w:sz w:val="24"/>
          <w:szCs w:val="24"/>
        </w:rPr>
        <w:t xml:space="preserve">Combine stability and connectivity ranks with user-defined weights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Sensitivity Analysis: </w:t>
      </w:r>
      <w:r>
        <w:rPr>
          <w:rFonts w:ascii="Arial" w:cs="Arial" w:eastAsia="Arial" w:hAnsi="Arial"/>
          <w:sz w:val="24"/>
          <w:szCs w:val="24"/>
        </w:rPr>
        <w:t xml:space="preserve">Evaluate robustness of top-50 to weight variations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"Compute a weighted composite score for each gene: 70% firing stability improvement + 30% connectivity preservation (or alternative weighting)."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"Identify the Pareto frontier of genes that cannot be simultaneously improved on both firing stability and connectivity."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"Select the top 50 genes from the weighted rank aggregation, with sensitivity analysis across weight ranges."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Top-50 gene list ranked by composite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Pareto frontier visualization and summary statistics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Sensitivity analysis: top-50 stability under weight perturbations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Individual scores for stability, connectivity, and composite rank for each of the 50 selected genes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with columns: rank, gene_id, stability_score, connectivity_score, composite_score, percentile_stability, percentile_connectivity.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Biological Characterization &amp; Pathway Enrichment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the top 50 genes by pathway membership, protein function, disease associations, and expression patterns. Test for enriched biological processes and pathways.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Top-50 gene list (from Stage 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 annotations and metadata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Pathway and ontology databases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Background gene set (all 18k genes) for enrichment statistical testing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STRING: </w:t>
      </w:r>
      <w:r>
        <w:rPr>
          <w:rFonts w:ascii="Arial" w:cs="Arial" w:eastAsia="Arial" w:hAnsi="Arial"/>
          <w:sz w:val="24"/>
          <w:szCs w:val="24"/>
        </w:rPr>
        <w:t xml:space="preserve">Protein–protein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KEGG: </w:t>
      </w:r>
      <w:r>
        <w:rPr>
          <w:rFonts w:ascii="Arial" w:cs="Arial" w:eastAsia="Arial" w:hAnsi="Arial"/>
          <w:sz w:val="24"/>
          <w:szCs w:val="24"/>
        </w:rPr>
        <w:t xml:space="preserve">Pathway membership and metabolic/signaling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Reactome: </w:t>
      </w:r>
      <w:r>
        <w:rPr>
          <w:rFonts w:ascii="Arial" w:cs="Arial" w:eastAsia="Arial" w:hAnsi="Arial"/>
          <w:sz w:val="24"/>
          <w:szCs w:val="24"/>
        </w:rPr>
        <w:t xml:space="preserve">Detailed pathway annotations and reaction networks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(GO) Enrichment / GSEA: </w:t>
      </w:r>
      <w:r>
        <w:rPr>
          <w:rFonts w:ascii="Arial" w:cs="Arial" w:eastAsia="Arial" w:hAnsi="Arial"/>
          <w:sz w:val="24"/>
          <w:szCs w:val="24"/>
        </w:rPr>
        <w:t xml:space="preserve">Biological process, cellular component, and molecular function enrichment via hypergeometric testing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DisGeNET: </w:t>
      </w:r>
      <w:r>
        <w:rPr>
          <w:rFonts w:ascii="Arial" w:cs="Arial" w:eastAsia="Arial" w:hAnsi="Arial"/>
          <w:sz w:val="24"/>
          <w:szCs w:val="24"/>
        </w:rPr>
        <w:t xml:space="preserve">Disease associations and therapeutic relevance of target genes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UniProt: </w:t>
      </w:r>
      <w:r>
        <w:rPr>
          <w:rFonts w:ascii="Arial" w:cs="Arial" w:eastAsia="Arial" w:hAnsi="Arial"/>
          <w:sz w:val="24"/>
          <w:szCs w:val="24"/>
        </w:rPr>
        <w:t xml:space="preserve">Protein properties, cellular localization, and functional descriptions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 </w:t>
      </w:r>
      <w:r>
        <w:rPr>
          <w:rFonts w:ascii="Arial" w:cs="Arial" w:eastAsia="Arial" w:hAnsi="Arial"/>
          <w:sz w:val="24"/>
          <w:szCs w:val="24"/>
        </w:rPr>
        <w:t xml:space="preserve">Tissue-specific expression patterns in brain and other tissues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"Retrieve Gene Ontology annotations (biological process, cellular component, molecular function) for all top-50 genes."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"Perform GO enrichment analysis: test which biological processes are overrepresented in the top-50 vs. background 18k genes."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"Identify KEGG and Reactome pathways containing ≥2 of the top-50 genes; rank by enrichment significance."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"Query DisGeNET for disease associations of top-50 genes, emphasizing neurological and psychiatric conditions."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"Retrieve GTEx expression data: which tissues show elevated expression of top-50 genes?"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Top-50 gene annotations: GO terms, KEGG/Reactome pathways, protein function, cellular localization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Enriched biological processes and pathways with p-values, effect sizes, and fold enrichment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Disease associations from DisGeNET, ranked by relevance and confidence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Tissue expression profiles (GTEx): brain region and tissue-specific expression of top-50 genes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Protein interaction network (STRING) showing top-50 genes and their direct interactors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Enrichment table (CSV), annotated gene list, pathway diagrams/network plots, and a comprehensive summary report.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Therapeutic Prioritization &amp; Confidence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Prioritize the top 50 genes by druggability, existing safety/toxicity data, competitive drug landscape, and clinical development stage. Assign confidence scores reflecting data quality and biological relevance.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Top-50 gene list with biological characterization (from Stage 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Drug and compound target databases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Clinical trial and development stage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Quiver validation protocols and confidence assessment criteria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DrugBank: </w:t>
      </w:r>
      <w:r>
        <w:rPr>
          <w:rFonts w:ascii="Arial" w:cs="Arial" w:eastAsia="Arial" w:hAnsi="Arial"/>
          <w:sz w:val="24"/>
          <w:szCs w:val="24"/>
        </w:rPr>
        <w:t xml:space="preserve">Known drugs, target genes, drug mechanisms, and safety profiles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ChEMBL: </w:t>
      </w:r>
      <w:r>
        <w:rPr>
          <w:rFonts w:ascii="Arial" w:cs="Arial" w:eastAsia="Arial" w:hAnsi="Arial"/>
          <w:sz w:val="24"/>
          <w:szCs w:val="24"/>
        </w:rPr>
        <w:t xml:space="preserve">Small-molecule inhibitors, bioactivities, and compound efficacy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DepMap: </w:t>
      </w:r>
      <w:r>
        <w:rPr>
          <w:rFonts w:ascii="Arial" w:cs="Arial" w:eastAsia="Arial" w:hAnsi="Arial"/>
          <w:sz w:val="24"/>
          <w:szCs w:val="24"/>
        </w:rPr>
        <w:t xml:space="preserve">Gene dependency, essentiality, and selectivity profiles across cell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ClinicalTrials.gov: </w:t>
      </w:r>
      <w:r>
        <w:rPr>
          <w:rFonts w:ascii="Arial" w:cs="Arial" w:eastAsia="Arial" w:hAnsi="Arial"/>
          <w:sz w:val="24"/>
          <w:szCs w:val="24"/>
        </w:rPr>
        <w:t xml:space="preserve">Active trials targeting these genes or related pathways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Confidence Scoring: </w:t>
      </w:r>
      <w:r>
        <w:rPr>
          <w:rFonts w:ascii="Arial" w:cs="Arial" w:eastAsia="Arial" w:hAnsi="Arial"/>
          <w:sz w:val="24"/>
          <w:szCs w:val="24"/>
        </w:rPr>
        <w:t xml:space="preserve">Integrate effect size, statistical power, pathway coherence, and orthogonal validation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Validation Protocols: </w:t>
      </w:r>
      <w:r>
        <w:rPr>
          <w:rFonts w:ascii="Arial" w:cs="Arial" w:eastAsia="Arial" w:hAnsi="Arial"/>
          <w:sz w:val="24"/>
          <w:szCs w:val="24"/>
        </w:rPr>
        <w:t xml:space="preserve">Check for independent validation, replication, and orthogonal assay evidence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"For each top-50 gene, query DrugBank and ChEMBL: is there an approved drug or clinical-stage inhibitor? What is the stage of development?"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"Assess druggability of each target: protein domain tractability, binding pocket suitability, predicted selectivity."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"Assign a confidence score (0-100) to each gene based on effect size, FDR, pathway coherence, and validation evidence."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"Rank top-50 genes by therapeutic potential: druggability + clinical stage + disease relevance."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Top-50 genes ranked by composite therapeutic potential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Druggability assessment for each gene: domain tractability, binding pocket prediction, selectivity estimates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Known drugs/compounds targeting each gene, with efficacy and safety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Clinical development stage and trial information for relevant programs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Confidence scores reflecting data completeness, robustness of measurements, and biological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Competitive landscape summary: alternative targets, existing therapies, and potential combinations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Comprehensive prioritized gene list (CSV) with all metrics, confidence scores, clinical development status, and executive summary report with actionable recommendations.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CRISPR Electrophysiology Atlas: </w:t>
      </w:r>
      <w:r>
        <w:rPr>
          <w:rFonts w:ascii="Arial" w:cs="Arial" w:eastAsia="Arial" w:hAnsi="Arial"/>
          <w:sz w:val="24"/>
          <w:szCs w:val="24"/>
        </w:rPr>
        <w:t xml:space="preserve">18,000-gene CRISPR perturbation dataset with spike recordings and network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Electrophysiology Feature Extraction Pipeline: </w:t>
      </w:r>
      <w:r>
        <w:rPr>
          <w:rFonts w:ascii="Arial" w:cs="Arial" w:eastAsia="Arial" w:hAnsi="Arial"/>
          <w:sz w:val="24"/>
          <w:szCs w:val="24"/>
        </w:rPr>
        <w:t xml:space="preserve">Automated computation of firing stability and connectivity 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Network Analysis Module: </w:t>
      </w:r>
      <w:r>
        <w:rPr>
          <w:rFonts w:ascii="Arial" w:cs="Arial" w:eastAsia="Arial" w:hAnsi="Arial"/>
          <w:sz w:val="24"/>
          <w:szCs w:val="24"/>
        </w:rPr>
        <w:t xml:space="preserve">Network connectivity and synchrony analysis across perturbations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SciPy Stats: </w:t>
      </w:r>
      <w:r>
        <w:rPr>
          <w:rFonts w:ascii="Arial" w:cs="Arial" w:eastAsia="Arial" w:hAnsi="Arial"/>
          <w:sz w:val="24"/>
          <w:szCs w:val="24"/>
        </w:rPr>
        <w:t xml:space="preserve">Statistical testing, hypothesis validation, effect size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Benjamini-Hochberg FDR Correction: </w:t>
      </w:r>
      <w:r>
        <w:rPr>
          <w:rFonts w:ascii="Arial" w:cs="Arial" w:eastAsia="Arial" w:hAnsi="Arial"/>
          <w:sz w:val="24"/>
          <w:szCs w:val="24"/>
        </w:rPr>
        <w:t xml:space="preserve">Multiple testing correction to control false discovery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Dual-Objective Scoring Engine: </w:t>
      </w:r>
      <w:r>
        <w:rPr>
          <w:rFonts w:ascii="Arial" w:cs="Arial" w:eastAsia="Arial" w:hAnsi="Arial"/>
          <w:sz w:val="24"/>
          <w:szCs w:val="24"/>
        </w:rPr>
        <w:t xml:space="preserve">Weighted rank aggregation and Pareto optimization for multi-criteria selection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STRING: </w:t>
      </w:r>
      <w:r>
        <w:rPr>
          <w:rFonts w:ascii="Arial" w:cs="Arial" w:eastAsia="Arial" w:hAnsi="Arial"/>
          <w:sz w:val="24"/>
          <w:szCs w:val="24"/>
        </w:rPr>
        <w:t xml:space="preserve">Protein–protein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KEGG: </w:t>
      </w:r>
      <w:r>
        <w:rPr>
          <w:rFonts w:ascii="Arial" w:cs="Arial" w:eastAsia="Arial" w:hAnsi="Arial"/>
          <w:sz w:val="24"/>
          <w:szCs w:val="24"/>
        </w:rPr>
        <w:t xml:space="preserve">Pathway membership and metabolic/signaling context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Reactome: </w:t>
      </w:r>
      <w:r>
        <w:rPr>
          <w:rFonts w:ascii="Arial" w:cs="Arial" w:eastAsia="Arial" w:hAnsi="Arial"/>
          <w:sz w:val="24"/>
          <w:szCs w:val="24"/>
        </w:rPr>
        <w:t xml:space="preserve">Detailed pathway annotations and reaction networks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 Ontology (GO) Enrichment: </w:t>
      </w:r>
      <w:r>
        <w:rPr>
          <w:rFonts w:ascii="Arial" w:cs="Arial" w:eastAsia="Arial" w:hAnsi="Arial"/>
          <w:sz w:val="24"/>
          <w:szCs w:val="24"/>
        </w:rPr>
        <w:t xml:space="preserve">GSEA and hypergeometric testing for biological process, cellular component, and molecular function enrichment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DisGeNET: </w:t>
      </w:r>
      <w:r>
        <w:rPr>
          <w:rFonts w:ascii="Arial" w:cs="Arial" w:eastAsia="Arial" w:hAnsi="Arial"/>
          <w:sz w:val="24"/>
          <w:szCs w:val="24"/>
        </w:rPr>
        <w:t xml:space="preserve">Disease associations and therapeutic relevance of target genes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UniProt: </w:t>
      </w:r>
      <w:r>
        <w:rPr>
          <w:rFonts w:ascii="Arial" w:cs="Arial" w:eastAsia="Arial" w:hAnsi="Arial"/>
          <w:sz w:val="24"/>
          <w:szCs w:val="24"/>
        </w:rPr>
        <w:t xml:space="preserve">Protein properties, cellular localization, and functional descriptions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 </w:t>
      </w:r>
      <w:r>
        <w:rPr>
          <w:rFonts w:ascii="Arial" w:cs="Arial" w:eastAsia="Arial" w:hAnsi="Arial"/>
          <w:sz w:val="24"/>
          <w:szCs w:val="24"/>
        </w:rPr>
        <w:t xml:space="preserve">Tissue-specific expression patterns in brain and other tissues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DrugBank: </w:t>
      </w:r>
      <w:r>
        <w:rPr>
          <w:rFonts w:ascii="Arial" w:cs="Arial" w:eastAsia="Arial" w:hAnsi="Arial"/>
          <w:sz w:val="24"/>
          <w:szCs w:val="24"/>
        </w:rPr>
        <w:t xml:space="preserve">Known drugs, target genes, drug mechanisms, and safety profiles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ChEMBL: </w:t>
      </w:r>
      <w:r>
        <w:rPr>
          <w:rFonts w:ascii="Arial" w:cs="Arial" w:eastAsia="Arial" w:hAnsi="Arial"/>
          <w:sz w:val="24"/>
          <w:szCs w:val="24"/>
        </w:rPr>
        <w:t xml:space="preserve">Small-molecule inhibitors, bioactivities, and compound efficacy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DepMap: </w:t>
      </w:r>
      <w:r>
        <w:rPr>
          <w:rFonts w:ascii="Arial" w:cs="Arial" w:eastAsia="Arial" w:hAnsi="Arial"/>
          <w:sz w:val="24"/>
          <w:szCs w:val="24"/>
        </w:rPr>
        <w:t xml:space="preserve">Gene dependency, essentiality, and selectivity profiles across cell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ClinicalTrials.gov: </w:t>
      </w:r>
      <w:r>
        <w:rPr>
          <w:rFonts w:ascii="Arial" w:cs="Arial" w:eastAsia="Arial" w:hAnsi="Arial"/>
          <w:sz w:val="24"/>
          <w:szCs w:val="24"/>
        </w:rPr>
        <w:t xml:space="preserve">Active trials targeting these genes or related pathways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Confidence Scoring: </w:t>
      </w:r>
      <w:r>
        <w:rPr>
          <w:rFonts w:ascii="Arial" w:cs="Arial" w:eastAsia="Arial" w:hAnsi="Arial"/>
          <w:sz w:val="24"/>
          <w:szCs w:val="24"/>
        </w:rPr>
        <w:t xml:space="preserve">Integration of effect size, statistical power, pathway coherence, and orthogonal validation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Validation Protocols: </w:t>
      </w:r>
      <w:r>
        <w:rPr>
          <w:rFonts w:ascii="Arial" w:cs="Arial" w:eastAsia="Arial" w:hAnsi="Arial"/>
          <w:sz w:val="24"/>
          <w:szCs w:val="24"/>
        </w:rPr>
        <w:t xml:space="preserve">Independent validation, replication, and orthogonal assay evidence assessment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2026-02-19T01:18:46.091Z</dcterms:created>
  <dcterms:modified xsi:type="dcterms:W3CDTF">2026-02-19T01:18:46.091Z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