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018: Cross-Disorder Pathway Node Analysis</w:t>
      </w:r>
    </w:p>
    <w:p>
      <w:pPr/>
      <w:r>
        <w:t>Identify pathway 'common nodes' across ASD, schizophrenia, and epilepsy functional clusters.</w:t>
      </w:r>
    </w:p>
    <w:p>
      <w:pPr>
        <w:pStyle w:val="Heading2"/>
      </w:pPr>
      <w:r>
        <w:rPr>
          <w:b/>
          <w:sz w:val="56"/>
        </w:rPr>
        <w:t>Pipeline Overview</w:t>
      </w:r>
    </w:p>
    <w:p>
      <w:pPr/>
      <w:r>
        <w:t>Pipeline 018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