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sz w:val="64"/>
        </w:rPr>
        <w:t>Sapphire Pipeline Workflow</w:t>
      </w:r>
    </w:p>
    <w:p>
      <w:pPr>
        <w:pStyle w:val="Heading2"/>
      </w:pPr>
      <w:r>
        <w:rPr>
          <w:rFonts w:ascii="Arial" w:hAnsi="Arial"/>
          <w:b/>
          <w:sz w:val="56"/>
        </w:rPr>
        <w:t>Pipeline 021: ASO Design for TSC2 Knockdown</w:t>
      </w:r>
    </w:p>
    <w:p>
      <w:r>
        <w:rPr>
          <w:rFonts w:ascii="Arial" w:hAnsi="Arial"/>
          <w:sz w:val="48"/>
        </w:rPr>
        <w:t>Design 5 optimized ASO sequences targeting TSC2 with predicted &gt;70% knockdown efficiency and minimal off-target risk.</w:t>
      </w:r>
    </w:p>
    <w:p>
      <w:pPr>
        <w:pStyle w:val="Heading2"/>
      </w:pPr>
      <w:r>
        <w:rPr>
          <w:rFonts w:ascii="Arial" w:hAnsi="Arial"/>
          <w:b/>
          <w:sz w:val="56"/>
        </w:rPr>
        <w:t>Pipeline Overview</w:t>
      </w:r>
    </w:p>
    <w:p>
      <w:r>
        <w:rPr>
          <w:rFonts w:ascii="Arial" w:hAnsi="Arial"/>
          <w:sz w:val="48"/>
        </w:rPr>
        <w:t>This pipeline integrates Quiver's EP CRISPR atlas with advanced ASO design algorithms to identify optimal antisense oligonucleotide sequences for TSC2 gene knockdown. The workflow prioritizes both efficacy (&gt;70% knockdown) and safety (minimal off-target effects), leveraging electrophysiology phenotypes from 18,000+ gene perturbations to predict functional outcomes in neuronal systems.</w:t>
      </w:r>
    </w:p>
    <w:p>
      <w:r>
        <w:rPr>
          <w:rFonts w:ascii="Arial" w:hAnsi="Arial"/>
          <w:sz w:val="48"/>
        </w:rPr>
        <w:t>The pipeline synthesizes genomic, biophysical, and toxicological data to recommend lead ASO candidates suitable for preclinical development. Each stage filters candidates through progressively stringent criteria, from sequence generation through integrated safety assessment.</w:t>
      </w:r>
    </w:p>
    <w:p>
      <w:pPr>
        <w:pStyle w:val="Heading2"/>
      </w:pPr>
      <w:r>
        <w:rPr>
          <w:rFonts w:ascii="Arial" w:hAnsi="Arial"/>
          <w:b/>
          <w:sz w:val="56"/>
        </w:rPr>
        <w:t>Stage 1: Target Selection and Sequence Generation</w:t>
      </w:r>
    </w:p>
    <w:p>
      <w:r>
        <w:rPr>
          <w:rFonts w:ascii="Arial" w:hAnsi="Arial"/>
          <w:b/>
          <w:sz w:val="48"/>
        </w:rPr>
        <w:t xml:space="preserve">Purpose: </w:t>
      </w:r>
    </w:p>
    <w:p>
      <w:pPr>
        <w:pStyle w:val="ListBullet"/>
      </w:pPr>
      <w:r>
        <w:rPr>
          <w:rFonts w:ascii="Arial" w:hAnsi="Arial"/>
          <w:sz w:val="48"/>
        </w:rPr>
        <w:t>Identify optimal target regions on TSC2 mRNA and generate initial ASO candidate sequences with maximum predicted knockdown potential.</w:t>
      </w:r>
    </w:p>
    <w:p>
      <w:r>
        <w:rPr>
          <w:rFonts w:ascii="Arial" w:hAnsi="Arial"/>
          <w:b/>
          <w:sz w:val="48"/>
        </w:rPr>
        <w:t xml:space="preserve">Inputs: </w:t>
      </w:r>
    </w:p>
    <w:p>
      <w:pPr>
        <w:pStyle w:val="ListBullet"/>
      </w:pPr>
      <w:r>
        <w:rPr>
          <w:rFonts w:ascii="Arial" w:hAnsi="Arial"/>
          <w:sz w:val="48"/>
        </w:rPr>
        <w:t>TSC2 genomic sequence and mRNA transcript data (Ensembl, RefSeq)</w:t>
      </w:r>
    </w:p>
    <w:p>
      <w:pPr>
        <w:pStyle w:val="ListBullet"/>
      </w:pPr>
      <w:r>
        <w:rPr>
          <w:rFonts w:ascii="Arial" w:hAnsi="Arial"/>
          <w:sz w:val="48"/>
        </w:rPr>
        <w:t>Quiver EP CRISPR atlas knockdown efficiency metrics</w:t>
      </w:r>
    </w:p>
    <w:p>
      <w:pPr>
        <w:pStyle w:val="ListBullet"/>
      </w:pPr>
      <w:r>
        <w:rPr>
          <w:rFonts w:ascii="Arial" w:hAnsi="Arial"/>
          <w:sz w:val="48"/>
        </w:rPr>
        <w:t>Off-target prediction databases (OT-score, CRISPOR, Cas-OFFinder)</w:t>
      </w:r>
    </w:p>
    <w:p>
      <w:pPr>
        <w:pStyle w:val="ListBullet"/>
      </w:pPr>
      <w:r>
        <w:rPr>
          <w:rFonts w:ascii="Arial" w:hAnsi="Arial"/>
          <w:sz w:val="48"/>
        </w:rPr>
        <w:t>TSC2 RNA secondary structure predictions (RNAfold, mfold)</w:t>
      </w:r>
    </w:p>
    <w:p>
      <w:pPr>
        <w:pStyle w:val="ListBullet"/>
      </w:pPr>
      <w:r>
        <w:rPr>
          <w:rFonts w:ascii="Arial" w:hAnsi="Arial"/>
          <w:sz w:val="48"/>
        </w:rPr>
        <w:t>Tissue-specific expression patterns from GTEx</w:t>
      </w:r>
    </w:p>
    <w:p>
      <w:r>
        <w:rPr>
          <w:rFonts w:ascii="Arial" w:hAnsi="Arial"/>
          <w:b/>
          <w:sz w:val="48"/>
        </w:rPr>
        <w:t xml:space="preserve">Tools &amp; Databases Called: </w:t>
      </w:r>
    </w:p>
    <w:p>
      <w:pPr>
        <w:pStyle w:val="ListBullet"/>
      </w:pPr>
      <w:r>
        <w:rPr>
          <w:rFonts w:ascii="Arial" w:hAnsi="Arial"/>
          <w:sz w:val="48"/>
        </w:rPr>
        <w:t>NCBI GenBank for TSC2 sequence retrieval</w:t>
      </w:r>
    </w:p>
    <w:p>
      <w:pPr>
        <w:pStyle w:val="ListBullet"/>
      </w:pPr>
      <w:r>
        <w:rPr>
          <w:rFonts w:ascii="Arial" w:hAnsi="Arial"/>
          <w:sz w:val="48"/>
        </w:rPr>
        <w:t>Ensembl REST API for transcript annotations</w:t>
      </w:r>
    </w:p>
    <w:p>
      <w:pPr>
        <w:pStyle w:val="ListBullet"/>
      </w:pPr>
      <w:r>
        <w:rPr>
          <w:rFonts w:ascii="Arial" w:hAnsi="Arial"/>
          <w:sz w:val="48"/>
        </w:rPr>
        <w:t>OT-score algorithm for off-target assessment</w:t>
      </w:r>
    </w:p>
    <w:p>
      <w:pPr>
        <w:pStyle w:val="ListBullet"/>
      </w:pPr>
      <w:r>
        <w:rPr>
          <w:rFonts w:ascii="Arial" w:hAnsi="Arial"/>
          <w:sz w:val="48"/>
        </w:rPr>
        <w:t>CRISPOR database for genomic uniqueness</w:t>
      </w:r>
    </w:p>
    <w:p>
      <w:pPr>
        <w:pStyle w:val="ListBullet"/>
      </w:pPr>
      <w:r>
        <w:rPr>
          <w:rFonts w:ascii="Arial" w:hAnsi="Arial"/>
          <w:sz w:val="48"/>
        </w:rPr>
        <w:t>RNAfold web server for secondary structure</w:t>
      </w:r>
    </w:p>
    <w:p>
      <w:pPr>
        <w:pStyle w:val="ListBullet"/>
      </w:pPr>
      <w:r>
        <w:rPr>
          <w:rFonts w:ascii="Arial" w:hAnsi="Arial"/>
          <w:sz w:val="48"/>
        </w:rPr>
        <w:t>Custom Sapphire ASO design module optimized for &gt;70% knockdown</w:t>
      </w:r>
    </w:p>
    <w:p>
      <w:pPr>
        <w:pStyle w:val="ListBullet"/>
      </w:pPr>
      <w:r>
        <w:rPr>
          <w:rFonts w:ascii="Arial" w:hAnsi="Arial"/>
          <w:sz w:val="48"/>
        </w:rPr>
        <w:t>GTEx portal for expression context</w:t>
      </w:r>
    </w:p>
    <w:p>
      <w:r>
        <w:rPr>
          <w:rFonts w:ascii="Arial" w:hAnsi="Arial"/>
          <w:b/>
          <w:sz w:val="48"/>
        </w:rPr>
        <w:t xml:space="preserve">Exemplary Sub-Prompts: </w:t>
      </w:r>
    </w:p>
    <w:p>
      <w:pPr>
        <w:pStyle w:val="ListBullet"/>
      </w:pPr>
      <w:r>
        <w:rPr>
          <w:rFonts w:ascii="Arial" w:hAnsi="Arial"/>
          <w:sz w:val="48"/>
        </w:rPr>
        <w:t>Retrieve the canonical TSC2 transcript sequence and map all exons.</w:t>
      </w:r>
    </w:p>
    <w:p>
      <w:pPr>
        <w:pStyle w:val="ListBullet"/>
      </w:pPr>
      <w:r>
        <w:rPr>
          <w:rFonts w:ascii="Arial" w:hAnsi="Arial"/>
          <w:sz w:val="48"/>
        </w:rPr>
        <w:t>Score potential off-targets within the human genome using OT-score.</w:t>
      </w:r>
    </w:p>
    <w:p>
      <w:pPr>
        <w:pStyle w:val="ListBullet"/>
      </w:pPr>
      <w:r>
        <w:rPr>
          <w:rFonts w:ascii="Arial" w:hAnsi="Arial"/>
          <w:sz w:val="48"/>
        </w:rPr>
        <w:t>Predict secondary structure changes upon ASO binding.</w:t>
      </w:r>
    </w:p>
    <w:p>
      <w:pPr>
        <w:pStyle w:val="ListBullet"/>
      </w:pPr>
      <w:r>
        <w:rPr>
          <w:rFonts w:ascii="Arial" w:hAnsi="Arial"/>
          <w:sz w:val="48"/>
        </w:rPr>
        <w:t>Identify regions with highest conservation and accessibility.</w:t>
      </w:r>
    </w:p>
    <w:p>
      <w:pPr>
        <w:pStyle w:val="ListBullet"/>
      </w:pPr>
      <w:r>
        <w:rPr>
          <w:rFonts w:ascii="Arial" w:hAnsi="Arial"/>
          <w:sz w:val="48"/>
        </w:rPr>
        <w:t>Filter candidate regions by predicted knockdown efficiency threshold.</w:t>
      </w:r>
    </w:p>
    <w:p>
      <w:r>
        <w:rPr>
          <w:rFonts w:ascii="Arial" w:hAnsi="Arial"/>
          <w:b/>
          <w:sz w:val="48"/>
        </w:rPr>
        <w:t xml:space="preserve">Expected Outputs: </w:t>
      </w:r>
    </w:p>
    <w:p>
      <w:pPr>
        <w:pStyle w:val="ListBullet"/>
      </w:pPr>
      <w:r>
        <w:rPr>
          <w:rFonts w:ascii="Arial" w:hAnsi="Arial"/>
          <w:sz w:val="48"/>
        </w:rPr>
        <w:t>List of 15–20 candidate TSC2 target regions with predicted knockdown scores</w:t>
      </w:r>
    </w:p>
    <w:p>
      <w:pPr>
        <w:pStyle w:val="ListBullet"/>
      </w:pPr>
      <w:r>
        <w:rPr>
          <w:rFonts w:ascii="Arial" w:hAnsi="Arial"/>
          <w:sz w:val="48"/>
        </w:rPr>
        <w:t>Off-target risk assessment for each region (quantified by OT-score and CRISPOR)</w:t>
      </w:r>
    </w:p>
    <w:p>
      <w:pPr>
        <w:pStyle w:val="ListBullet"/>
      </w:pPr>
      <w:r>
        <w:rPr>
          <w:rFonts w:ascii="Arial" w:hAnsi="Arial"/>
          <w:sz w:val="48"/>
        </w:rPr>
        <w:t>RNA secondary structure diagrams highlighting accessibility</w:t>
      </w:r>
    </w:p>
    <w:p>
      <w:pPr>
        <w:pStyle w:val="ListBullet"/>
      </w:pPr>
      <w:r>
        <w:rPr>
          <w:rFonts w:ascii="Arial" w:hAnsi="Arial"/>
          <w:sz w:val="48"/>
        </w:rPr>
        <w:t>Ranked target regions based on efficacy and safety metrics</w:t>
      </w:r>
    </w:p>
    <w:p>
      <w:pPr>
        <w:pStyle w:val="ListBullet"/>
      </w:pPr>
      <w:r>
        <w:rPr>
          <w:rFonts w:ascii="Arial" w:hAnsi="Arial"/>
          <w:sz w:val="48"/>
        </w:rPr>
        <w:t>Preliminary candidate ASO sequence list (25+ variants)</w:t>
      </w:r>
    </w:p>
    <w:p>
      <w:r>
        <w:rPr>
          <w:rFonts w:ascii="Arial" w:hAnsi="Arial"/>
          <w:b/>
          <w:sz w:val="48"/>
        </w:rPr>
        <w:t xml:space="preserve">Format: </w:t>
      </w:r>
    </w:p>
    <w:p>
      <w:pPr>
        <w:pStyle w:val="ListBullet"/>
      </w:pPr>
      <w:r>
        <w:rPr>
          <w:rFonts w:ascii="Arial" w:hAnsi="Arial"/>
          <w:sz w:val="48"/>
        </w:rPr>
        <w:t>Tabular output with columns: Target Region, Transcript Position, Predicted Knockdown %, Off-Target Risk, Secondary Structure Score, and Recommendation Flag.</w:t>
      </w:r>
    </w:p>
    <w:p>
      <w:pPr>
        <w:pStyle w:val="Heading2"/>
      </w:pPr>
      <w:r>
        <w:rPr>
          <w:rFonts w:ascii="Arial" w:hAnsi="Arial"/>
          <w:b/>
          <w:sz w:val="56"/>
        </w:rPr>
        <w:t>Stage 2: ASO Chemistry Optimization</w:t>
      </w:r>
    </w:p>
    <w:p>
      <w:r>
        <w:rPr>
          <w:rFonts w:ascii="Arial" w:hAnsi="Arial"/>
          <w:b/>
          <w:sz w:val="48"/>
        </w:rPr>
        <w:t xml:space="preserve">Purpose: </w:t>
      </w:r>
    </w:p>
    <w:p>
      <w:pPr>
        <w:pStyle w:val="ListBullet"/>
      </w:pPr>
      <w:r>
        <w:rPr>
          <w:rFonts w:ascii="Arial" w:hAnsi="Arial"/>
          <w:sz w:val="48"/>
        </w:rPr>
        <w:t>Select optimal nucleotide modifications (2'MOE, LNA, PMO, phosphorothioate backbone) to enhance stability, cellular uptake, and CNS penetration while minimizing immune activation.</w:t>
      </w:r>
    </w:p>
    <w:p>
      <w:r>
        <w:rPr>
          <w:rFonts w:ascii="Arial" w:hAnsi="Arial"/>
          <w:b/>
          <w:sz w:val="48"/>
        </w:rPr>
        <w:t xml:space="preserve">Inputs: </w:t>
      </w:r>
    </w:p>
    <w:p>
      <w:pPr>
        <w:pStyle w:val="ListBullet"/>
      </w:pPr>
      <w:r>
        <w:rPr>
          <w:rFonts w:ascii="Arial" w:hAnsi="Arial"/>
          <w:sz w:val="48"/>
        </w:rPr>
        <w:t>Initial 25+ ASO candidates from Stage 1</w:t>
      </w:r>
    </w:p>
    <w:p>
      <w:pPr>
        <w:pStyle w:val="ListBullet"/>
      </w:pPr>
      <w:r>
        <w:rPr>
          <w:rFonts w:ascii="Arial" w:hAnsi="Arial"/>
          <w:sz w:val="48"/>
        </w:rPr>
        <w:t>Literature on 2'MOE, LNA, and PMO pharmacokinetics</w:t>
      </w:r>
    </w:p>
    <w:p>
      <w:pPr>
        <w:pStyle w:val="ListBullet"/>
      </w:pPr>
      <w:r>
        <w:rPr>
          <w:rFonts w:ascii="Arial" w:hAnsi="Arial"/>
          <w:sz w:val="48"/>
        </w:rPr>
        <w:t>Quiver's compound perturbation database (500+ neuron features)</w:t>
      </w:r>
    </w:p>
    <w:p>
      <w:pPr>
        <w:pStyle w:val="ListBullet"/>
      </w:pPr>
      <w:r>
        <w:rPr>
          <w:rFonts w:ascii="Arial" w:hAnsi="Arial"/>
          <w:sz w:val="48"/>
        </w:rPr>
        <w:t>Known immune response signatures (TLR3, TLR7, TLR8 activation)</w:t>
      </w:r>
    </w:p>
    <w:p>
      <w:pPr>
        <w:pStyle w:val="ListBullet"/>
      </w:pPr>
      <w:r>
        <w:rPr>
          <w:rFonts w:ascii="Arial" w:hAnsi="Arial"/>
          <w:sz w:val="48"/>
        </w:rPr>
        <w:t>CNS bioavailability data from preclinical studies</w:t>
      </w:r>
    </w:p>
    <w:p>
      <w:pPr>
        <w:pStyle w:val="ListBullet"/>
      </w:pPr>
      <w:r>
        <w:rPr>
          <w:rFonts w:ascii="Arial" w:hAnsi="Arial"/>
          <w:sz w:val="48"/>
        </w:rPr>
        <w:t>Hepatic and renal metabolism predictions</w:t>
      </w:r>
    </w:p>
    <w:p>
      <w:r>
        <w:rPr>
          <w:rFonts w:ascii="Arial" w:hAnsi="Arial"/>
          <w:b/>
          <w:sz w:val="48"/>
        </w:rPr>
        <w:t xml:space="preserve">Tools &amp; Databases Called: </w:t>
      </w:r>
    </w:p>
    <w:p>
      <w:pPr>
        <w:pStyle w:val="ListBullet"/>
      </w:pPr>
      <w:r>
        <w:rPr>
          <w:rFonts w:ascii="Arial" w:hAnsi="Arial"/>
          <w:sz w:val="48"/>
        </w:rPr>
        <w:t>ChemSpider/PubChem for chemical structure databases</w:t>
      </w:r>
    </w:p>
    <w:p>
      <w:pPr>
        <w:pStyle w:val="ListBullet"/>
      </w:pPr>
      <w:r>
        <w:rPr>
          <w:rFonts w:ascii="Arial" w:hAnsi="Arial"/>
          <w:sz w:val="48"/>
        </w:rPr>
        <w:t>Quiver compound perturbation module</w:t>
      </w:r>
    </w:p>
    <w:p>
      <w:pPr>
        <w:pStyle w:val="ListBullet"/>
      </w:pPr>
      <w:r>
        <w:rPr>
          <w:rFonts w:ascii="Arial" w:hAnsi="Arial"/>
          <w:sz w:val="48"/>
        </w:rPr>
        <w:t>Immune response prediction algorithm (TLR scoring)</w:t>
      </w:r>
    </w:p>
    <w:p>
      <w:pPr>
        <w:pStyle w:val="ListBullet"/>
      </w:pPr>
      <w:r>
        <w:rPr>
          <w:rFonts w:ascii="Arial" w:hAnsi="Arial"/>
          <w:sz w:val="48"/>
        </w:rPr>
        <w:t>ADMET prediction tool (SwissADME, ADMETLab)</w:t>
      </w:r>
    </w:p>
    <w:p>
      <w:pPr>
        <w:pStyle w:val="ListBullet"/>
      </w:pPr>
      <w:r>
        <w:rPr>
          <w:rFonts w:ascii="Arial" w:hAnsi="Arial"/>
          <w:sz w:val="48"/>
        </w:rPr>
        <w:t>PK simulation engine for CNS penetration</w:t>
      </w:r>
    </w:p>
    <w:p>
      <w:pPr>
        <w:pStyle w:val="ListBullet"/>
      </w:pPr>
      <w:r>
        <w:rPr>
          <w:rFonts w:ascii="Arial" w:hAnsi="Arial"/>
          <w:sz w:val="48"/>
        </w:rPr>
        <w:t>Backbone modification library (phosphorothioate, methylation patterns)</w:t>
      </w:r>
    </w:p>
    <w:p>
      <w:r>
        <w:rPr>
          <w:rFonts w:ascii="Arial" w:hAnsi="Arial"/>
          <w:b/>
          <w:sz w:val="48"/>
        </w:rPr>
        <w:t xml:space="preserve">Exemplary Sub-Prompts: </w:t>
      </w:r>
    </w:p>
    <w:p>
      <w:pPr>
        <w:pStyle w:val="ListBullet"/>
      </w:pPr>
      <w:r>
        <w:rPr>
          <w:rFonts w:ascii="Arial" w:hAnsi="Arial"/>
          <w:sz w:val="48"/>
        </w:rPr>
        <w:t>Compare 2'MOE vs. LNA modifications for each sequence in terms of predicted stability.</w:t>
      </w:r>
    </w:p>
    <w:p>
      <w:pPr>
        <w:pStyle w:val="ListBullet"/>
      </w:pPr>
      <w:r>
        <w:rPr>
          <w:rFonts w:ascii="Arial" w:hAnsi="Arial"/>
          <w:sz w:val="48"/>
        </w:rPr>
        <w:t>Estimate CNS permeability for each chemistry variant.</w:t>
      </w:r>
    </w:p>
    <w:p>
      <w:pPr>
        <w:pStyle w:val="ListBullet"/>
      </w:pPr>
      <w:r>
        <w:rPr>
          <w:rFonts w:ascii="Arial" w:hAnsi="Arial"/>
          <w:sz w:val="48"/>
        </w:rPr>
        <w:t>Predict innate immune activation risk based on CpG dinucleotide content.</w:t>
      </w:r>
    </w:p>
    <w:p>
      <w:pPr>
        <w:pStyle w:val="ListBullet"/>
      </w:pPr>
      <w:r>
        <w:rPr>
          <w:rFonts w:ascii="Arial" w:hAnsi="Arial"/>
          <w:sz w:val="48"/>
        </w:rPr>
        <w:t>Model hepatic clearance rates across modification patterns.</w:t>
      </w:r>
    </w:p>
    <w:p>
      <w:pPr>
        <w:pStyle w:val="ListBullet"/>
      </w:pPr>
      <w:r>
        <w:rPr>
          <w:rFonts w:ascii="Arial" w:hAnsi="Arial"/>
          <w:sz w:val="48"/>
        </w:rPr>
        <w:t>Rank chemistries by overall ADMET composite score.</w:t>
      </w:r>
    </w:p>
    <w:p>
      <w:r>
        <w:rPr>
          <w:rFonts w:ascii="Arial" w:hAnsi="Arial"/>
          <w:b/>
          <w:sz w:val="48"/>
        </w:rPr>
        <w:t xml:space="preserve">Expected Outputs: </w:t>
      </w:r>
    </w:p>
    <w:p>
      <w:pPr>
        <w:pStyle w:val="ListBullet"/>
      </w:pPr>
      <w:r>
        <w:rPr>
          <w:rFonts w:ascii="Arial" w:hAnsi="Arial"/>
          <w:sz w:val="48"/>
        </w:rPr>
        <w:t>Top 10 ASO candidates with optimized chemistry specifications</w:t>
      </w:r>
    </w:p>
    <w:p>
      <w:pPr>
        <w:pStyle w:val="ListBullet"/>
      </w:pPr>
      <w:r>
        <w:rPr>
          <w:rFonts w:ascii="Arial" w:hAnsi="Arial"/>
          <w:sz w:val="48"/>
        </w:rPr>
        <w:t>Chemistry profiles: backbone type, sugar modifications, and internal labels (if applicable)</w:t>
      </w:r>
    </w:p>
    <w:p>
      <w:pPr>
        <w:pStyle w:val="ListBullet"/>
      </w:pPr>
      <w:r>
        <w:rPr>
          <w:rFonts w:ascii="Arial" w:hAnsi="Arial"/>
          <w:sz w:val="48"/>
        </w:rPr>
        <w:t>Predicted pharmacokinetic parameters (half-life, blood-to-brain ratio, Cmax)</w:t>
      </w:r>
    </w:p>
    <w:p>
      <w:pPr>
        <w:pStyle w:val="ListBullet"/>
      </w:pPr>
      <w:r>
        <w:rPr>
          <w:rFonts w:ascii="Arial" w:hAnsi="Arial"/>
          <w:sz w:val="48"/>
        </w:rPr>
        <w:t>Immune activation risk scores (relative TLR activation potential)</w:t>
      </w:r>
    </w:p>
    <w:p>
      <w:pPr>
        <w:pStyle w:val="ListBullet"/>
      </w:pPr>
      <w:r>
        <w:rPr>
          <w:rFonts w:ascii="Arial" w:hAnsi="Arial"/>
          <w:sz w:val="48"/>
        </w:rPr>
        <w:t>Stability predictions under physiological conditions (37°C, pH 7.4)</w:t>
      </w:r>
    </w:p>
    <w:p>
      <w:pPr>
        <w:pStyle w:val="ListBullet"/>
      </w:pPr>
      <w:r>
        <w:rPr>
          <w:rFonts w:ascii="Arial" w:hAnsi="Arial"/>
          <w:sz w:val="48"/>
        </w:rPr>
        <w:t>Modification cost and synthesis feasibility assessment</w:t>
      </w:r>
    </w:p>
    <w:p>
      <w:r>
        <w:rPr>
          <w:rFonts w:ascii="Arial" w:hAnsi="Arial"/>
          <w:b/>
          <w:sz w:val="48"/>
        </w:rPr>
        <w:t xml:space="preserve">Format: </w:t>
      </w:r>
    </w:p>
    <w:p>
      <w:pPr>
        <w:pStyle w:val="ListBullet"/>
      </w:pPr>
      <w:r>
        <w:rPr>
          <w:rFonts w:ascii="Arial" w:hAnsi="Arial"/>
          <w:sz w:val="48"/>
        </w:rPr>
        <w:t>Detailed chemistry comparison table with predicted PK and immune metrics; ASO sequence annotated with modification positions.</w:t>
      </w:r>
    </w:p>
    <w:p>
      <w:pPr>
        <w:pStyle w:val="Heading2"/>
      </w:pPr>
      <w:r>
        <w:rPr>
          <w:rFonts w:ascii="Arial" w:hAnsi="Arial"/>
          <w:b/>
          <w:sz w:val="56"/>
        </w:rPr>
        <w:t>Stage 3: Efficacy Prediction Using Quiver EP Atlas</w:t>
      </w:r>
    </w:p>
    <w:p>
      <w:r>
        <w:rPr>
          <w:rFonts w:ascii="Arial" w:hAnsi="Arial"/>
          <w:b/>
          <w:sz w:val="48"/>
        </w:rPr>
        <w:t xml:space="preserve">Purpose: </w:t>
      </w:r>
    </w:p>
    <w:p>
      <w:pPr>
        <w:pStyle w:val="ListBullet"/>
      </w:pPr>
      <w:r>
        <w:rPr>
          <w:rFonts w:ascii="Arial" w:hAnsi="Arial"/>
          <w:sz w:val="48"/>
        </w:rPr>
        <w:t>Leverage Quiver's 18,000+ gene perturbation EP CRISPR atlas and 500+ neuronal features to predict functional knockdown effects on electrophysiological phenotypes associated with TSC2 loss.</w:t>
      </w:r>
    </w:p>
    <w:p>
      <w:r>
        <w:rPr>
          <w:rFonts w:ascii="Arial" w:hAnsi="Arial"/>
          <w:b/>
          <w:sz w:val="48"/>
        </w:rPr>
        <w:t xml:space="preserve">Inputs: </w:t>
      </w:r>
    </w:p>
    <w:p>
      <w:pPr>
        <w:pStyle w:val="ListBullet"/>
      </w:pPr>
      <w:r>
        <w:rPr>
          <w:rFonts w:ascii="Arial" w:hAnsi="Arial"/>
          <w:sz w:val="48"/>
        </w:rPr>
        <w:t>Top 10 ASO candidates with chemistry specifications</w:t>
      </w:r>
    </w:p>
    <w:p>
      <w:pPr>
        <w:pStyle w:val="ListBullet"/>
      </w:pPr>
      <w:r>
        <w:rPr>
          <w:rFonts w:ascii="Arial" w:hAnsi="Arial"/>
          <w:sz w:val="48"/>
        </w:rPr>
        <w:t>Quiver EP CRISPR atlas (18,000 gene perturbations, 500+ features per neuron)</w:t>
      </w:r>
    </w:p>
    <w:p>
      <w:pPr>
        <w:pStyle w:val="ListBullet"/>
      </w:pPr>
      <w:r>
        <w:rPr>
          <w:rFonts w:ascii="Arial" w:hAnsi="Arial"/>
          <w:sz w:val="48"/>
        </w:rPr>
        <w:t>TSC2 loss-of-function expression signatures</w:t>
      </w:r>
    </w:p>
    <w:p>
      <w:pPr>
        <w:pStyle w:val="ListBullet"/>
      </w:pPr>
      <w:r>
        <w:rPr>
          <w:rFonts w:ascii="Arial" w:hAnsi="Arial"/>
          <w:sz w:val="48"/>
        </w:rPr>
        <w:t>Neuronal phenotype-genotype correlation matrices</w:t>
      </w:r>
    </w:p>
    <w:p>
      <w:pPr>
        <w:pStyle w:val="ListBullet"/>
      </w:pPr>
      <w:r>
        <w:rPr>
          <w:rFonts w:ascii="Arial" w:hAnsi="Arial"/>
          <w:sz w:val="48"/>
        </w:rPr>
        <w:t>Electrophysiology datasets (current clamp, voltage clamp)</w:t>
      </w:r>
    </w:p>
    <w:p>
      <w:pPr>
        <w:pStyle w:val="ListBullet"/>
      </w:pPr>
      <w:r>
        <w:rPr>
          <w:rFonts w:ascii="Arial" w:hAnsi="Arial"/>
          <w:sz w:val="48"/>
        </w:rPr>
        <w:t>Comparative perturbation profiles from the atlas</w:t>
      </w:r>
    </w:p>
    <w:p>
      <w:r>
        <w:rPr>
          <w:rFonts w:ascii="Arial" w:hAnsi="Arial"/>
          <w:b/>
          <w:sz w:val="48"/>
        </w:rPr>
        <w:t xml:space="preserve">Tools &amp; Databases Called: </w:t>
      </w:r>
    </w:p>
    <w:p>
      <w:pPr>
        <w:pStyle w:val="ListBullet"/>
      </w:pPr>
      <w:r>
        <w:rPr>
          <w:rFonts w:ascii="Arial" w:hAnsi="Arial"/>
          <w:sz w:val="48"/>
        </w:rPr>
        <w:t>Quiver EP CRISPR atlas core database</w:t>
      </w:r>
    </w:p>
    <w:p>
      <w:pPr>
        <w:pStyle w:val="ListBullet"/>
      </w:pPr>
      <w:r>
        <w:rPr>
          <w:rFonts w:ascii="Arial" w:hAnsi="Arial"/>
          <w:sz w:val="48"/>
        </w:rPr>
        <w:t>Gene expression module (RNA-seq, qPCR data integration)</w:t>
      </w:r>
    </w:p>
    <w:p>
      <w:pPr>
        <w:pStyle w:val="ListBullet"/>
      </w:pPr>
      <w:r>
        <w:rPr>
          <w:rFonts w:ascii="Arial" w:hAnsi="Arial"/>
          <w:sz w:val="48"/>
        </w:rPr>
        <w:t>Phenotype prediction engine (machine learning model)</w:t>
      </w:r>
    </w:p>
    <w:p>
      <w:pPr>
        <w:pStyle w:val="ListBullet"/>
      </w:pPr>
      <w:r>
        <w:rPr>
          <w:rFonts w:ascii="Arial" w:hAnsi="Arial"/>
          <w:sz w:val="48"/>
        </w:rPr>
        <w:t>Statistical association module for feature correlation</w:t>
      </w:r>
    </w:p>
    <w:p>
      <w:pPr>
        <w:pStyle w:val="ListBullet"/>
      </w:pPr>
      <w:r>
        <w:rPr>
          <w:rFonts w:ascii="Arial" w:hAnsi="Arial"/>
          <w:sz w:val="48"/>
        </w:rPr>
        <w:t>Knockdown dose-response simulator</w:t>
      </w:r>
    </w:p>
    <w:p>
      <w:pPr>
        <w:pStyle w:val="ListBullet"/>
      </w:pPr>
      <w:r>
        <w:rPr>
          <w:rFonts w:ascii="Arial" w:hAnsi="Arial"/>
          <w:sz w:val="48"/>
        </w:rPr>
        <w:t>Functional prediction pipeline for neuronal outcomes</w:t>
      </w:r>
    </w:p>
    <w:p>
      <w:r>
        <w:rPr>
          <w:rFonts w:ascii="Arial" w:hAnsi="Arial"/>
          <w:b/>
          <w:sz w:val="48"/>
        </w:rPr>
        <w:t xml:space="preserve">Exemplary Sub-Prompts: </w:t>
      </w:r>
    </w:p>
    <w:p>
      <w:pPr>
        <w:pStyle w:val="ListBullet"/>
      </w:pPr>
      <w:r>
        <w:rPr>
          <w:rFonts w:ascii="Arial" w:hAnsi="Arial"/>
          <w:sz w:val="48"/>
        </w:rPr>
        <w:t>Extract the TSC2 loss-of-function signature from the Quiver atlas.</w:t>
      </w:r>
    </w:p>
    <w:p>
      <w:pPr>
        <w:pStyle w:val="ListBullet"/>
      </w:pPr>
      <w:r>
        <w:rPr>
          <w:rFonts w:ascii="Arial" w:hAnsi="Arial"/>
          <w:sz w:val="48"/>
        </w:rPr>
        <w:t>Correlate predicted knockdown levels with phenotypic changes in neuronal excitability.</w:t>
      </w:r>
    </w:p>
    <w:p>
      <w:pPr>
        <w:pStyle w:val="ListBullet"/>
      </w:pPr>
      <w:r>
        <w:rPr>
          <w:rFonts w:ascii="Arial" w:hAnsi="Arial"/>
          <w:sz w:val="48"/>
        </w:rPr>
        <w:t>Model dose-response relationships for each ASO candidate.</w:t>
      </w:r>
    </w:p>
    <w:p>
      <w:pPr>
        <w:pStyle w:val="ListBullet"/>
      </w:pPr>
      <w:r>
        <w:rPr>
          <w:rFonts w:ascii="Arial" w:hAnsi="Arial"/>
          <w:sz w:val="48"/>
        </w:rPr>
        <w:t>Identify secondary neuronal phenotypes affected by TSC2 knockdown.</w:t>
      </w:r>
    </w:p>
    <w:p>
      <w:pPr>
        <w:pStyle w:val="ListBullet"/>
      </w:pPr>
      <w:r>
        <w:rPr>
          <w:rFonts w:ascii="Arial" w:hAnsi="Arial"/>
          <w:sz w:val="48"/>
        </w:rPr>
        <w:t>Rank candidates by predicted on-target functional outcomes.</w:t>
      </w:r>
    </w:p>
    <w:p>
      <w:r>
        <w:rPr>
          <w:rFonts w:ascii="Arial" w:hAnsi="Arial"/>
          <w:b/>
          <w:sz w:val="48"/>
        </w:rPr>
        <w:t xml:space="preserve">Expected Outputs: </w:t>
      </w:r>
    </w:p>
    <w:p>
      <w:pPr>
        <w:pStyle w:val="ListBullet"/>
      </w:pPr>
      <w:r>
        <w:rPr>
          <w:rFonts w:ascii="Arial" w:hAnsi="Arial"/>
          <w:sz w:val="48"/>
        </w:rPr>
        <w:t>Predicted knockdown efficiency for each ASO candidate (ranked by % efficiency)</w:t>
      </w:r>
    </w:p>
    <w:p>
      <w:pPr>
        <w:pStyle w:val="ListBullet"/>
      </w:pPr>
      <w:r>
        <w:rPr>
          <w:rFonts w:ascii="Arial" w:hAnsi="Arial"/>
          <w:sz w:val="48"/>
        </w:rPr>
        <w:t>Functional outcome maps linking knockdown to electrophysiological changes</w:t>
      </w:r>
    </w:p>
    <w:p>
      <w:pPr>
        <w:pStyle w:val="ListBullet"/>
      </w:pPr>
      <w:r>
        <w:rPr>
          <w:rFonts w:ascii="Arial" w:hAnsi="Arial"/>
          <w:sz w:val="48"/>
        </w:rPr>
        <w:t>Dose-response curves for top 5 candidates</w:t>
      </w:r>
    </w:p>
    <w:p>
      <w:pPr>
        <w:pStyle w:val="ListBullet"/>
      </w:pPr>
      <w:r>
        <w:rPr>
          <w:rFonts w:ascii="Arial" w:hAnsi="Arial"/>
          <w:sz w:val="48"/>
        </w:rPr>
        <w:t>Secondary phenotypic effects predicted (excitability, synaptic plasticity, etc.)</w:t>
      </w:r>
    </w:p>
    <w:p>
      <w:pPr>
        <w:pStyle w:val="ListBullet"/>
      </w:pPr>
      <w:r>
        <w:rPr>
          <w:rFonts w:ascii="Arial" w:hAnsi="Arial"/>
          <w:sz w:val="48"/>
        </w:rPr>
        <w:t>Candidate ranking with &gt;70% predicted knockdown marked as qualified</w:t>
      </w:r>
    </w:p>
    <w:p>
      <w:pPr>
        <w:pStyle w:val="ListBullet"/>
      </w:pPr>
      <w:r>
        <w:rPr>
          <w:rFonts w:ascii="Arial" w:hAnsi="Arial"/>
          <w:sz w:val="48"/>
        </w:rPr>
        <w:t>Confidence intervals for all predictions based on atlas statistical power</w:t>
      </w:r>
    </w:p>
    <w:p>
      <w:r>
        <w:rPr>
          <w:rFonts w:ascii="Arial" w:hAnsi="Arial"/>
          <w:b/>
          <w:sz w:val="48"/>
        </w:rPr>
        <w:t xml:space="preserve">Format: </w:t>
      </w:r>
    </w:p>
    <w:p>
      <w:pPr>
        <w:pStyle w:val="ListBullet"/>
      </w:pPr>
      <w:r>
        <w:rPr>
          <w:rFonts w:ascii="Arial" w:hAnsi="Arial"/>
          <w:sz w:val="48"/>
        </w:rPr>
        <w:t>Heatmaps of feature correlations; dose-response plots; summary ranking table with knockdown % and confidence intervals.</w:t>
      </w:r>
    </w:p>
    <w:p>
      <w:pPr>
        <w:pStyle w:val="Heading2"/>
      </w:pPr>
      <w:r>
        <w:rPr>
          <w:rFonts w:ascii="Arial" w:hAnsi="Arial"/>
          <w:b/>
          <w:sz w:val="56"/>
        </w:rPr>
        <w:t>Stage 4: Off-Target Risk Assessment</w:t>
      </w:r>
    </w:p>
    <w:p>
      <w:r>
        <w:rPr>
          <w:rFonts w:ascii="Arial" w:hAnsi="Arial"/>
          <w:b/>
          <w:sz w:val="48"/>
        </w:rPr>
        <w:t xml:space="preserve">Purpose: </w:t>
      </w:r>
    </w:p>
    <w:p>
      <w:pPr>
        <w:pStyle w:val="ListBullet"/>
      </w:pPr>
      <w:r>
        <w:rPr>
          <w:rFonts w:ascii="Arial" w:hAnsi="Arial"/>
          <w:sz w:val="48"/>
        </w:rPr>
        <w:t>Comprehensively evaluate off-target binding potential using sequence homology, thermodynamic modeling, and cross-referencing against known toxicity mechanisms.</w:t>
      </w:r>
    </w:p>
    <w:p>
      <w:r>
        <w:rPr>
          <w:rFonts w:ascii="Arial" w:hAnsi="Arial"/>
          <w:b/>
          <w:sz w:val="48"/>
        </w:rPr>
        <w:t xml:space="preserve">Inputs: </w:t>
      </w:r>
    </w:p>
    <w:p>
      <w:pPr>
        <w:pStyle w:val="ListBullet"/>
      </w:pPr>
      <w:r>
        <w:rPr>
          <w:rFonts w:ascii="Arial" w:hAnsi="Arial"/>
          <w:sz w:val="48"/>
        </w:rPr>
        <w:t>Top 5 ASO candidates qualified from Stage 3</w:t>
      </w:r>
    </w:p>
    <w:p>
      <w:pPr>
        <w:pStyle w:val="ListBullet"/>
      </w:pPr>
      <w:r>
        <w:rPr>
          <w:rFonts w:ascii="Arial" w:hAnsi="Arial"/>
          <w:sz w:val="48"/>
        </w:rPr>
        <w:t>Complete human genome sequence (hg38)</w:t>
      </w:r>
    </w:p>
    <w:p>
      <w:pPr>
        <w:pStyle w:val="ListBullet"/>
      </w:pPr>
      <w:r>
        <w:rPr>
          <w:rFonts w:ascii="Arial" w:hAnsi="Arial"/>
          <w:sz w:val="48"/>
        </w:rPr>
        <w:t>Off-target prediction algorithms (OT-score, CRISPOR, SeqAnyWhere)</w:t>
      </w:r>
    </w:p>
    <w:p>
      <w:pPr>
        <w:pStyle w:val="ListBullet"/>
      </w:pPr>
      <w:r>
        <w:rPr>
          <w:rFonts w:ascii="Arial" w:hAnsi="Arial"/>
          <w:sz w:val="48"/>
        </w:rPr>
        <w:t>Toxicity mechanism database (known ASO adverse events)</w:t>
      </w:r>
    </w:p>
    <w:p>
      <w:pPr>
        <w:pStyle w:val="ListBullet"/>
      </w:pPr>
      <w:r>
        <w:rPr>
          <w:rFonts w:ascii="Arial" w:hAnsi="Arial"/>
          <w:sz w:val="48"/>
        </w:rPr>
        <w:t>Organ-specific gene expression maps</w:t>
      </w:r>
    </w:p>
    <w:p>
      <w:pPr>
        <w:pStyle w:val="ListBullet"/>
      </w:pPr>
      <w:r>
        <w:rPr>
          <w:rFonts w:ascii="Arial" w:hAnsi="Arial"/>
          <w:sz w:val="48"/>
        </w:rPr>
        <w:t>Clinical ASO safety data from EMEA/FDA databases</w:t>
      </w:r>
    </w:p>
    <w:p>
      <w:r>
        <w:rPr>
          <w:rFonts w:ascii="Arial" w:hAnsi="Arial"/>
          <w:b/>
          <w:sz w:val="48"/>
        </w:rPr>
        <w:t xml:space="preserve">Tools &amp; Databases Called: </w:t>
      </w:r>
    </w:p>
    <w:p>
      <w:pPr>
        <w:pStyle w:val="ListBullet"/>
      </w:pPr>
      <w:r>
        <w:rPr>
          <w:rFonts w:ascii="Arial" w:hAnsi="Arial"/>
          <w:sz w:val="48"/>
        </w:rPr>
        <w:t>UCSC Genome Browser for sequence homology searches</w:t>
      </w:r>
    </w:p>
    <w:p>
      <w:pPr>
        <w:pStyle w:val="ListBullet"/>
      </w:pPr>
      <w:r>
        <w:rPr>
          <w:rFonts w:ascii="Arial" w:hAnsi="Arial"/>
          <w:sz w:val="48"/>
        </w:rPr>
        <w:t>OT-score algorithm (thermodynamic off-target prediction)</w:t>
      </w:r>
    </w:p>
    <w:p>
      <w:pPr>
        <w:pStyle w:val="ListBullet"/>
      </w:pPr>
      <w:r>
        <w:rPr>
          <w:rFonts w:ascii="Arial" w:hAnsi="Arial"/>
          <w:sz w:val="48"/>
        </w:rPr>
        <w:t>CRISPOR off-target finder</w:t>
      </w:r>
    </w:p>
    <w:p>
      <w:pPr>
        <w:pStyle w:val="ListBullet"/>
      </w:pPr>
      <w:r>
        <w:rPr>
          <w:rFonts w:ascii="Arial" w:hAnsi="Arial"/>
          <w:sz w:val="48"/>
        </w:rPr>
        <w:t>SeqAnyWhere for rapid sequence matching</w:t>
      </w:r>
    </w:p>
    <w:p>
      <w:pPr>
        <w:pStyle w:val="ListBullet"/>
      </w:pPr>
      <w:r>
        <w:rPr>
          <w:rFonts w:ascii="Arial" w:hAnsi="Arial"/>
          <w:sz w:val="48"/>
        </w:rPr>
        <w:t>Toxicology knowledge base (internal and PubMed-mined)</w:t>
      </w:r>
    </w:p>
    <w:p>
      <w:pPr>
        <w:pStyle w:val="ListBullet"/>
      </w:pPr>
      <w:r>
        <w:rPr>
          <w:rFonts w:ascii="Arial" w:hAnsi="Arial"/>
          <w:sz w:val="48"/>
        </w:rPr>
        <w:t>FDA drug safety database (adverse event reports)</w:t>
      </w:r>
    </w:p>
    <w:p>
      <w:pPr>
        <w:pStyle w:val="ListBullet"/>
      </w:pPr>
      <w:r>
        <w:rPr>
          <w:rFonts w:ascii="Arial" w:hAnsi="Arial"/>
          <w:sz w:val="48"/>
        </w:rPr>
        <w:t>Gene ontology database for functional annotation of potential off-targets</w:t>
      </w:r>
    </w:p>
    <w:p>
      <w:r>
        <w:rPr>
          <w:rFonts w:ascii="Arial" w:hAnsi="Arial"/>
          <w:b/>
          <w:sz w:val="48"/>
        </w:rPr>
        <w:t xml:space="preserve">Exemplary Sub-Prompts: </w:t>
      </w:r>
    </w:p>
    <w:p>
      <w:pPr>
        <w:pStyle w:val="ListBullet"/>
      </w:pPr>
      <w:r>
        <w:rPr>
          <w:rFonts w:ascii="Arial" w:hAnsi="Arial"/>
          <w:sz w:val="48"/>
        </w:rPr>
        <w:t>Identify all homologous sequences within 2 mismatches across the human genome.</w:t>
      </w:r>
    </w:p>
    <w:p>
      <w:pPr>
        <w:pStyle w:val="ListBullet"/>
      </w:pPr>
      <w:r>
        <w:rPr>
          <w:rFonts w:ascii="Arial" w:hAnsi="Arial"/>
          <w:sz w:val="48"/>
        </w:rPr>
        <w:t>Score off-target binding thermodynamically at each identified site.</w:t>
      </w:r>
    </w:p>
    <w:p>
      <w:pPr>
        <w:pStyle w:val="ListBullet"/>
      </w:pPr>
      <w:r>
        <w:rPr>
          <w:rFonts w:ascii="Arial" w:hAnsi="Arial"/>
          <w:sz w:val="48"/>
        </w:rPr>
        <w:t>Filter off-targets by organ-specific expression and toxicological relevance.</w:t>
      </w:r>
    </w:p>
    <w:p>
      <w:pPr>
        <w:pStyle w:val="ListBullet"/>
      </w:pPr>
      <w:r>
        <w:rPr>
          <w:rFonts w:ascii="Arial" w:hAnsi="Arial"/>
          <w:sz w:val="48"/>
        </w:rPr>
        <w:t>Cross-reference high-risk off-targets against known ASO toxicity mechanisms.</w:t>
      </w:r>
    </w:p>
    <w:p>
      <w:pPr>
        <w:pStyle w:val="ListBullet"/>
      </w:pPr>
      <w:r>
        <w:rPr>
          <w:rFonts w:ascii="Arial" w:hAnsi="Arial"/>
          <w:sz w:val="48"/>
        </w:rPr>
        <w:t>Assign overall off-target risk score to each candidate.</w:t>
      </w:r>
    </w:p>
    <w:p>
      <w:r>
        <w:rPr>
          <w:rFonts w:ascii="Arial" w:hAnsi="Arial"/>
          <w:b/>
          <w:sz w:val="48"/>
        </w:rPr>
        <w:t xml:space="preserve">Expected Outputs: </w:t>
      </w:r>
    </w:p>
    <w:p>
      <w:pPr>
        <w:pStyle w:val="ListBullet"/>
      </w:pPr>
      <w:r>
        <w:rPr>
          <w:rFonts w:ascii="Arial" w:hAnsi="Arial"/>
          <w:sz w:val="48"/>
        </w:rPr>
        <w:t>Off-target risk matrix for all 5 candidates (ranked by risk level)</w:t>
      </w:r>
    </w:p>
    <w:p>
      <w:pPr>
        <w:pStyle w:val="ListBullet"/>
      </w:pPr>
      <w:r>
        <w:rPr>
          <w:rFonts w:ascii="Arial" w:hAnsi="Arial"/>
          <w:sz w:val="48"/>
        </w:rPr>
        <w:t>Detailed off-target binding site maps with predicted binding free energy</w:t>
      </w:r>
    </w:p>
    <w:p>
      <w:pPr>
        <w:pStyle w:val="ListBullet"/>
      </w:pPr>
      <w:r>
        <w:rPr>
          <w:rFonts w:ascii="Arial" w:hAnsi="Arial"/>
          <w:sz w:val="48"/>
        </w:rPr>
        <w:t>Critical off-target genes (if any) and mitigation strategies</w:t>
      </w:r>
    </w:p>
    <w:p>
      <w:pPr>
        <w:pStyle w:val="ListBullet"/>
      </w:pPr>
      <w:r>
        <w:rPr>
          <w:rFonts w:ascii="Arial" w:hAnsi="Arial"/>
          <w:sz w:val="48"/>
        </w:rPr>
        <w:t>Organ toxicity risk assessment (CNS, liver, kidney, immune)</w:t>
      </w:r>
    </w:p>
    <w:p>
      <w:pPr>
        <w:pStyle w:val="ListBullet"/>
      </w:pPr>
      <w:r>
        <w:rPr>
          <w:rFonts w:ascii="Arial" w:hAnsi="Arial"/>
          <w:sz w:val="48"/>
        </w:rPr>
        <w:t>Safety classification: Low, Medium, or High off-target risk</w:t>
      </w:r>
    </w:p>
    <w:p>
      <w:pPr>
        <w:pStyle w:val="ListBullet"/>
      </w:pPr>
      <w:r>
        <w:rPr>
          <w:rFonts w:ascii="Arial" w:hAnsi="Arial"/>
          <w:sz w:val="48"/>
        </w:rPr>
        <w:t>Recommendations for further safety testing or sequence modification</w:t>
      </w:r>
    </w:p>
    <w:p>
      <w:r>
        <w:rPr>
          <w:rFonts w:ascii="Arial" w:hAnsi="Arial"/>
          <w:b/>
          <w:sz w:val="48"/>
        </w:rPr>
        <w:t xml:space="preserve">Format: </w:t>
      </w:r>
    </w:p>
    <w:p>
      <w:pPr>
        <w:pStyle w:val="ListBullet"/>
      </w:pPr>
      <w:r>
        <w:rPr>
          <w:rFonts w:ascii="Arial" w:hAnsi="Arial"/>
          <w:sz w:val="48"/>
        </w:rPr>
        <w:t>Genome browser screenshots highlighting off-target loci; risk summary table with binding thermodynamics and organ impact assessments.</w:t>
      </w:r>
    </w:p>
    <w:p>
      <w:pPr>
        <w:pStyle w:val="Heading2"/>
      </w:pPr>
      <w:r>
        <w:rPr>
          <w:rFonts w:ascii="Arial" w:hAnsi="Arial"/>
          <w:b/>
          <w:sz w:val="56"/>
        </w:rPr>
        <w:t>Stage 5: Integrated Efficacy-Safety Analysis</w:t>
      </w:r>
    </w:p>
    <w:p>
      <w:r>
        <w:rPr>
          <w:rFonts w:ascii="Arial" w:hAnsi="Arial"/>
          <w:b/>
          <w:sz w:val="48"/>
        </w:rPr>
        <w:t xml:space="preserve">Purpose: </w:t>
      </w:r>
    </w:p>
    <w:p>
      <w:pPr>
        <w:pStyle w:val="ListBullet"/>
      </w:pPr>
      <w:r>
        <w:rPr>
          <w:rFonts w:ascii="Arial" w:hAnsi="Arial"/>
          <w:sz w:val="48"/>
        </w:rPr>
        <w:t>Synthesize efficacy and safety data to create a comprehensive risk-benefit profile and select the final 5 lead candidates for preclinical progression.</w:t>
      </w:r>
    </w:p>
    <w:p>
      <w:r>
        <w:rPr>
          <w:rFonts w:ascii="Arial" w:hAnsi="Arial"/>
          <w:b/>
          <w:sz w:val="48"/>
        </w:rPr>
        <w:t xml:space="preserve">Inputs: </w:t>
      </w:r>
    </w:p>
    <w:p>
      <w:pPr>
        <w:pStyle w:val="ListBullet"/>
      </w:pPr>
      <w:r>
        <w:rPr>
          <w:rFonts w:ascii="Arial" w:hAnsi="Arial"/>
          <w:sz w:val="48"/>
        </w:rPr>
        <w:t>Stage 3 efficacy predictions (knockdown %, confidence intervals)</w:t>
      </w:r>
    </w:p>
    <w:p>
      <w:pPr>
        <w:pStyle w:val="ListBullet"/>
      </w:pPr>
      <w:r>
        <w:rPr>
          <w:rFonts w:ascii="Arial" w:hAnsi="Arial"/>
          <w:sz w:val="48"/>
        </w:rPr>
        <w:t>Stage 4 off-target risk assessments</w:t>
      </w:r>
    </w:p>
    <w:p>
      <w:pPr>
        <w:pStyle w:val="ListBullet"/>
      </w:pPr>
      <w:r>
        <w:rPr>
          <w:rFonts w:ascii="Arial" w:hAnsi="Arial"/>
          <w:sz w:val="48"/>
        </w:rPr>
        <w:t>Chemistry optimization metrics from Stage 2</w:t>
      </w:r>
    </w:p>
    <w:p>
      <w:pPr>
        <w:pStyle w:val="ListBullet"/>
      </w:pPr>
      <w:r>
        <w:rPr>
          <w:rFonts w:ascii="Arial" w:hAnsi="Arial"/>
          <w:sz w:val="48"/>
        </w:rPr>
        <w:t>Preclinical protocol requirements (GLP toxicology timelines)</w:t>
      </w:r>
    </w:p>
    <w:p>
      <w:pPr>
        <w:pStyle w:val="ListBullet"/>
      </w:pPr>
      <w:r>
        <w:rPr>
          <w:rFonts w:ascii="Arial" w:hAnsi="Arial"/>
          <w:sz w:val="48"/>
        </w:rPr>
        <w:t>Project-specific Go/No-Go decision criteria</w:t>
      </w:r>
    </w:p>
    <w:p>
      <w:r>
        <w:rPr>
          <w:rFonts w:ascii="Arial" w:hAnsi="Arial"/>
          <w:b/>
          <w:sz w:val="48"/>
        </w:rPr>
        <w:t xml:space="preserve">Tools &amp; Databases Called: </w:t>
      </w:r>
    </w:p>
    <w:p>
      <w:pPr>
        <w:pStyle w:val="ListBullet"/>
      </w:pPr>
      <w:r>
        <w:rPr>
          <w:rFonts w:ascii="Arial" w:hAnsi="Arial"/>
          <w:sz w:val="48"/>
        </w:rPr>
        <w:t>Multi-criteria decision analysis (MCDA) module</w:t>
      </w:r>
    </w:p>
    <w:p>
      <w:pPr>
        <w:pStyle w:val="ListBullet"/>
      </w:pPr>
      <w:r>
        <w:rPr>
          <w:rFonts w:ascii="Arial" w:hAnsi="Arial"/>
          <w:sz w:val="48"/>
        </w:rPr>
        <w:t>Sapphire integrated prediction engine</w:t>
      </w:r>
    </w:p>
    <w:p>
      <w:pPr>
        <w:pStyle w:val="ListBullet"/>
      </w:pPr>
      <w:r>
        <w:rPr>
          <w:rFonts w:ascii="Arial" w:hAnsi="Arial"/>
          <w:sz w:val="48"/>
        </w:rPr>
        <w:t>Cost-benefit optimization algorithm</w:t>
      </w:r>
    </w:p>
    <w:p>
      <w:pPr>
        <w:pStyle w:val="ListBullet"/>
      </w:pPr>
      <w:r>
        <w:rPr>
          <w:rFonts w:ascii="Arial" w:hAnsi="Arial"/>
          <w:sz w:val="48"/>
        </w:rPr>
        <w:t>Regulatory pathway classifier (IND requirements)</w:t>
      </w:r>
    </w:p>
    <w:p>
      <w:pPr>
        <w:pStyle w:val="ListBullet"/>
      </w:pPr>
      <w:r>
        <w:rPr>
          <w:rFonts w:ascii="Arial" w:hAnsi="Arial"/>
          <w:sz w:val="48"/>
        </w:rPr>
        <w:t>Literature mining tool for comparative ASO programs</w:t>
      </w:r>
    </w:p>
    <w:p>
      <w:pPr>
        <w:pStyle w:val="ListBullet"/>
      </w:pPr>
      <w:r>
        <w:rPr>
          <w:rFonts w:ascii="Arial" w:hAnsi="Arial"/>
          <w:sz w:val="48"/>
        </w:rPr>
        <w:t>Risk management database (toxicology triggers)</w:t>
      </w:r>
    </w:p>
    <w:p>
      <w:r>
        <w:rPr>
          <w:rFonts w:ascii="Arial" w:hAnsi="Arial"/>
          <w:b/>
          <w:sz w:val="48"/>
        </w:rPr>
        <w:t xml:space="preserve">Exemplary Sub-Prompts: </w:t>
      </w:r>
    </w:p>
    <w:p>
      <w:pPr>
        <w:pStyle w:val="ListBullet"/>
      </w:pPr>
      <w:r>
        <w:rPr>
          <w:rFonts w:ascii="Arial" w:hAnsi="Arial"/>
          <w:sz w:val="48"/>
        </w:rPr>
        <w:t>Rank candidates by efficacy-to-risk ratio using weighted MCDA scoring.</w:t>
      </w:r>
    </w:p>
    <w:p>
      <w:pPr>
        <w:pStyle w:val="ListBullet"/>
      </w:pPr>
      <w:r>
        <w:rPr>
          <w:rFonts w:ascii="Arial" w:hAnsi="Arial"/>
          <w:sz w:val="48"/>
        </w:rPr>
        <w:t>Identify the top 5 candidates meeting the &gt;70% knockdown and acceptable off-target criteria.</w:t>
      </w:r>
    </w:p>
    <w:p>
      <w:pPr>
        <w:pStyle w:val="ListBullet"/>
      </w:pPr>
      <w:r>
        <w:rPr>
          <w:rFonts w:ascii="Arial" w:hAnsi="Arial"/>
          <w:sz w:val="48"/>
        </w:rPr>
        <w:t>Generate justification narratives for each selected candidate.</w:t>
      </w:r>
    </w:p>
    <w:p>
      <w:pPr>
        <w:pStyle w:val="ListBullet"/>
      </w:pPr>
      <w:r>
        <w:rPr>
          <w:rFonts w:ascii="Arial" w:hAnsi="Arial"/>
          <w:sz w:val="48"/>
        </w:rPr>
        <w:t>Estimate preclinical development timeline and resource requirements.</w:t>
      </w:r>
    </w:p>
    <w:p>
      <w:pPr>
        <w:pStyle w:val="ListBullet"/>
      </w:pPr>
      <w:r>
        <w:rPr>
          <w:rFonts w:ascii="Arial" w:hAnsi="Arial"/>
          <w:sz w:val="48"/>
        </w:rPr>
        <w:t>Identify knowledge gaps and recommended follow-up studies.</w:t>
      </w:r>
    </w:p>
    <w:p>
      <w:r>
        <w:rPr>
          <w:rFonts w:ascii="Arial" w:hAnsi="Arial"/>
          <w:b/>
          <w:sz w:val="48"/>
        </w:rPr>
        <w:t xml:space="preserve">Expected Outputs: </w:t>
      </w:r>
    </w:p>
    <w:p>
      <w:pPr>
        <w:pStyle w:val="ListBullet"/>
      </w:pPr>
      <w:r>
        <w:rPr>
          <w:rFonts w:ascii="Arial" w:hAnsi="Arial"/>
          <w:sz w:val="48"/>
        </w:rPr>
        <w:t>Final ranked list of 5 lead ASO candidates</w:t>
      </w:r>
    </w:p>
    <w:p>
      <w:pPr>
        <w:pStyle w:val="ListBullet"/>
      </w:pPr>
      <w:r>
        <w:rPr>
          <w:rFonts w:ascii="Arial" w:hAnsi="Arial"/>
          <w:sz w:val="48"/>
        </w:rPr>
        <w:t>Integrated efficacy-safety profiles (summary cards)</w:t>
      </w:r>
    </w:p>
    <w:p>
      <w:pPr>
        <w:pStyle w:val="ListBullet"/>
      </w:pPr>
      <w:r>
        <w:rPr>
          <w:rFonts w:ascii="Arial" w:hAnsi="Arial"/>
          <w:sz w:val="48"/>
        </w:rPr>
        <w:t>Risk-benefit scoring matrices and justification</w:t>
      </w:r>
    </w:p>
    <w:p>
      <w:pPr>
        <w:pStyle w:val="ListBullet"/>
      </w:pPr>
      <w:r>
        <w:rPr>
          <w:rFonts w:ascii="Arial" w:hAnsi="Arial"/>
          <w:sz w:val="48"/>
        </w:rPr>
        <w:t>Recommended preclinical testing cascade</w:t>
      </w:r>
    </w:p>
    <w:p>
      <w:pPr>
        <w:pStyle w:val="ListBullet"/>
      </w:pPr>
      <w:r>
        <w:rPr>
          <w:rFonts w:ascii="Arial" w:hAnsi="Arial"/>
          <w:sz w:val="48"/>
        </w:rPr>
        <w:t>Project Go/No-Go recommendations with rationale</w:t>
      </w:r>
    </w:p>
    <w:p>
      <w:pPr>
        <w:pStyle w:val="ListBullet"/>
      </w:pPr>
      <w:r>
        <w:rPr>
          <w:rFonts w:ascii="Arial" w:hAnsi="Arial"/>
          <w:sz w:val="48"/>
        </w:rPr>
        <w:t>Estimated timelines and resource allocations for each candidate</w:t>
      </w:r>
    </w:p>
    <w:p>
      <w:r>
        <w:rPr>
          <w:rFonts w:ascii="Arial" w:hAnsi="Arial"/>
          <w:b/>
          <w:sz w:val="48"/>
        </w:rPr>
        <w:t xml:space="preserve">Format: </w:t>
      </w:r>
    </w:p>
    <w:p>
      <w:pPr>
        <w:pStyle w:val="ListBullet"/>
      </w:pPr>
      <w:r>
        <w:rPr>
          <w:rFonts w:ascii="Arial" w:hAnsi="Arial"/>
          <w:sz w:val="48"/>
        </w:rPr>
        <w:t>Executive summary with lead candidate cards; detailed scoring tables; preclinical roadmap with decision trees.</w:t>
      </w:r>
    </w:p>
    <w:p>
      <w:pPr>
        <w:pStyle w:val="Heading2"/>
      </w:pPr>
      <w:r>
        <w:rPr>
          <w:rFonts w:ascii="Arial" w:hAnsi="Arial"/>
          <w:b/>
          <w:sz w:val="56"/>
        </w:rPr>
        <w:t>Stage 6: Lead Candidate Report and Preclinical Recommendations</w:t>
      </w:r>
    </w:p>
    <w:p>
      <w:r>
        <w:rPr>
          <w:rFonts w:ascii="Arial" w:hAnsi="Arial"/>
          <w:b/>
          <w:sz w:val="48"/>
        </w:rPr>
        <w:t xml:space="preserve">Purpose: </w:t>
      </w:r>
    </w:p>
    <w:p>
      <w:pPr>
        <w:pStyle w:val="ListBullet"/>
      </w:pPr>
      <w:r>
        <w:rPr>
          <w:rFonts w:ascii="Arial" w:hAnsi="Arial"/>
          <w:sz w:val="48"/>
        </w:rPr>
        <w:t>Compile comprehensive documentation for the top 5 lead candidates, including synthesis specifications, preclinical testing strategy, and regulatory pathway guidance.</w:t>
      </w:r>
    </w:p>
    <w:p>
      <w:r>
        <w:rPr>
          <w:rFonts w:ascii="Arial" w:hAnsi="Arial"/>
          <w:b/>
          <w:sz w:val="48"/>
        </w:rPr>
        <w:t xml:space="preserve">Inputs: </w:t>
      </w:r>
    </w:p>
    <w:p>
      <w:pPr>
        <w:pStyle w:val="ListBullet"/>
      </w:pPr>
      <w:r>
        <w:rPr>
          <w:rFonts w:ascii="Arial" w:hAnsi="Arial"/>
          <w:sz w:val="48"/>
        </w:rPr>
        <w:t>Final 5 lead ASO candidates from Stage 5</w:t>
      </w:r>
    </w:p>
    <w:p>
      <w:pPr>
        <w:pStyle w:val="ListBullet"/>
      </w:pPr>
      <w:r>
        <w:rPr>
          <w:rFonts w:ascii="Arial" w:hAnsi="Arial"/>
          <w:sz w:val="48"/>
        </w:rPr>
        <w:t>All efficacy, chemistry, and safety data from Stages 1–5</w:t>
      </w:r>
    </w:p>
    <w:p>
      <w:pPr>
        <w:pStyle w:val="ListBullet"/>
      </w:pPr>
      <w:r>
        <w:rPr>
          <w:rFonts w:ascii="Arial" w:hAnsi="Arial"/>
          <w:sz w:val="48"/>
        </w:rPr>
        <w:t>Preclinical protocol templates</w:t>
      </w:r>
    </w:p>
    <w:p>
      <w:pPr>
        <w:pStyle w:val="ListBullet"/>
      </w:pPr>
      <w:r>
        <w:rPr>
          <w:rFonts w:ascii="Arial" w:hAnsi="Arial"/>
          <w:sz w:val="48"/>
        </w:rPr>
        <w:t>IND preparation guidelines (FDA, EMA)</w:t>
      </w:r>
    </w:p>
    <w:p>
      <w:pPr>
        <w:pStyle w:val="ListBullet"/>
      </w:pPr>
      <w:r>
        <w:rPr>
          <w:rFonts w:ascii="Arial" w:hAnsi="Arial"/>
          <w:sz w:val="48"/>
        </w:rPr>
        <w:t>Competitive landscape analysis</w:t>
      </w:r>
    </w:p>
    <w:p>
      <w:r>
        <w:rPr>
          <w:rFonts w:ascii="Arial" w:hAnsi="Arial"/>
          <w:b/>
          <w:sz w:val="48"/>
        </w:rPr>
        <w:t xml:space="preserve">Tools &amp; Databases Called: </w:t>
      </w:r>
    </w:p>
    <w:p>
      <w:pPr>
        <w:pStyle w:val="ListBullet"/>
      </w:pPr>
      <w:r>
        <w:rPr>
          <w:rFonts w:ascii="Arial" w:hAnsi="Arial"/>
          <w:sz w:val="48"/>
        </w:rPr>
        <w:t>Document generation module (templates and formatting)</w:t>
      </w:r>
    </w:p>
    <w:p>
      <w:pPr>
        <w:pStyle w:val="ListBullet"/>
      </w:pPr>
      <w:r>
        <w:rPr>
          <w:rFonts w:ascii="Arial" w:hAnsi="Arial"/>
          <w:sz w:val="48"/>
        </w:rPr>
        <w:t>Regulatory information system (IND/CTA requirements)</w:t>
      </w:r>
    </w:p>
    <w:p>
      <w:pPr>
        <w:pStyle w:val="ListBullet"/>
      </w:pPr>
      <w:r>
        <w:rPr>
          <w:rFonts w:ascii="Arial" w:hAnsi="Arial"/>
          <w:sz w:val="48"/>
        </w:rPr>
        <w:t>Synthesis specification generator (CMC guidance)</w:t>
      </w:r>
    </w:p>
    <w:p>
      <w:pPr>
        <w:pStyle w:val="ListBullet"/>
      </w:pPr>
      <w:r>
        <w:rPr>
          <w:rFonts w:ascii="Arial" w:hAnsi="Arial"/>
          <w:sz w:val="48"/>
        </w:rPr>
        <w:t>Literature database for competitive intelligence</w:t>
      </w:r>
    </w:p>
    <w:p>
      <w:pPr>
        <w:pStyle w:val="ListBullet"/>
      </w:pPr>
      <w:r>
        <w:rPr>
          <w:rFonts w:ascii="Arial" w:hAnsi="Arial"/>
          <w:sz w:val="48"/>
        </w:rPr>
        <w:t>Project management system for timeline tracking</w:t>
      </w:r>
    </w:p>
    <w:p>
      <w:pPr>
        <w:pStyle w:val="ListBullet"/>
      </w:pPr>
      <w:r>
        <w:rPr>
          <w:rFonts w:ascii="Arial" w:hAnsi="Arial"/>
          <w:sz w:val="48"/>
        </w:rPr>
        <w:t>Quality risk assessment tool</w:t>
      </w:r>
    </w:p>
    <w:p>
      <w:r>
        <w:rPr>
          <w:rFonts w:ascii="Arial" w:hAnsi="Arial"/>
          <w:b/>
          <w:sz w:val="48"/>
        </w:rPr>
        <w:t xml:space="preserve">Exemplary Sub-Prompts: </w:t>
      </w:r>
    </w:p>
    <w:p>
      <w:pPr>
        <w:pStyle w:val="ListBullet"/>
      </w:pPr>
      <w:r>
        <w:rPr>
          <w:rFonts w:ascii="Arial" w:hAnsi="Arial"/>
          <w:sz w:val="48"/>
        </w:rPr>
        <w:t>Generate detailed chemical synthesis and characterization specifications for each lead candidate.</w:t>
      </w:r>
    </w:p>
    <w:p>
      <w:pPr>
        <w:pStyle w:val="ListBullet"/>
      </w:pPr>
      <w:r>
        <w:rPr>
          <w:rFonts w:ascii="Arial" w:hAnsi="Arial"/>
          <w:sz w:val="48"/>
        </w:rPr>
        <w:t>Recommend a prioritized preclinical testing strategy (in vitro, in vivo, toxicology).</w:t>
      </w:r>
    </w:p>
    <w:p>
      <w:pPr>
        <w:pStyle w:val="ListBullet"/>
      </w:pPr>
      <w:r>
        <w:rPr>
          <w:rFonts w:ascii="Arial" w:hAnsi="Arial"/>
          <w:sz w:val="48"/>
        </w:rPr>
        <w:t>Outline IND-enabling studies and estimated timelines.</w:t>
      </w:r>
    </w:p>
    <w:p>
      <w:pPr>
        <w:pStyle w:val="ListBullet"/>
      </w:pPr>
      <w:r>
        <w:rPr>
          <w:rFonts w:ascii="Arial" w:hAnsi="Arial"/>
          <w:sz w:val="48"/>
        </w:rPr>
        <w:t>Compare lead candidates against published competitive ASO programs.</w:t>
      </w:r>
    </w:p>
    <w:p>
      <w:pPr>
        <w:pStyle w:val="ListBullet"/>
      </w:pPr>
      <w:r>
        <w:rPr>
          <w:rFonts w:ascii="Arial" w:hAnsi="Arial"/>
          <w:sz w:val="48"/>
        </w:rPr>
        <w:t>Identify any remaining development risks and mitigation strategies.</w:t>
      </w:r>
    </w:p>
    <w:p>
      <w:r>
        <w:rPr>
          <w:rFonts w:ascii="Arial" w:hAnsi="Arial"/>
          <w:b/>
          <w:sz w:val="48"/>
        </w:rPr>
        <w:t xml:space="preserve">Expected Outputs: </w:t>
      </w:r>
    </w:p>
    <w:p>
      <w:pPr>
        <w:pStyle w:val="ListBullet"/>
      </w:pPr>
      <w:r>
        <w:rPr>
          <w:rFonts w:ascii="Arial" w:hAnsi="Arial"/>
          <w:sz w:val="48"/>
        </w:rPr>
        <w:t>Lead Candidate Summary Report (5 detailed candidate cards)</w:t>
      </w:r>
    </w:p>
    <w:p>
      <w:pPr>
        <w:pStyle w:val="ListBullet"/>
      </w:pPr>
      <w:r>
        <w:rPr>
          <w:rFonts w:ascii="Arial" w:hAnsi="Arial"/>
          <w:sz w:val="48"/>
        </w:rPr>
        <w:t>Synthesis and characterization specifications (CMC-ready format)</w:t>
      </w:r>
    </w:p>
    <w:p>
      <w:pPr>
        <w:pStyle w:val="ListBullet"/>
      </w:pPr>
      <w:r>
        <w:rPr>
          <w:rFonts w:ascii="Arial" w:hAnsi="Arial"/>
          <w:sz w:val="48"/>
        </w:rPr>
        <w:t>Preclinical testing plan with go/no-go decision points</w:t>
      </w:r>
    </w:p>
    <w:p>
      <w:pPr>
        <w:pStyle w:val="ListBullet"/>
      </w:pPr>
      <w:r>
        <w:rPr>
          <w:rFonts w:ascii="Arial" w:hAnsi="Arial"/>
          <w:sz w:val="48"/>
        </w:rPr>
        <w:t>IND pathway roadmap with regulatory milestones</w:t>
      </w:r>
    </w:p>
    <w:p>
      <w:pPr>
        <w:pStyle w:val="ListBullet"/>
      </w:pPr>
      <w:r>
        <w:rPr>
          <w:rFonts w:ascii="Arial" w:hAnsi="Arial"/>
          <w:sz w:val="48"/>
        </w:rPr>
        <w:t>Competitive landscape assessment</w:t>
      </w:r>
    </w:p>
    <w:p>
      <w:pPr>
        <w:pStyle w:val="ListBullet"/>
      </w:pPr>
      <w:r>
        <w:rPr>
          <w:rFonts w:ascii="Arial" w:hAnsi="Arial"/>
          <w:sz w:val="48"/>
        </w:rPr>
        <w:t>Risk management plan with mitigation strategies</w:t>
      </w:r>
    </w:p>
    <w:p>
      <w:pPr>
        <w:pStyle w:val="ListBullet"/>
      </w:pPr>
      <w:r>
        <w:rPr>
          <w:rFonts w:ascii="Arial" w:hAnsi="Arial"/>
          <w:sz w:val="48"/>
        </w:rPr>
        <w:t>Project timeline and resource requirements</w:t>
      </w:r>
    </w:p>
    <w:p>
      <w:r>
        <w:rPr>
          <w:rFonts w:ascii="Arial" w:hAnsi="Arial"/>
          <w:b/>
          <w:sz w:val="48"/>
        </w:rPr>
        <w:t xml:space="preserve">Format: </w:t>
      </w:r>
    </w:p>
    <w:p>
      <w:pPr>
        <w:pStyle w:val="ListBullet"/>
      </w:pPr>
      <w:r>
        <w:rPr>
          <w:rFonts w:ascii="Arial" w:hAnsi="Arial"/>
          <w:sz w:val="48"/>
        </w:rPr>
        <w:t>Comprehensive PDF/Word report with visual summaries, detailed data appendices, and regulatory guidance sections.</w:t>
      </w:r>
    </w:p>
    <w:p>
      <w:pPr>
        <w:pStyle w:val="Heading2"/>
      </w:pPr>
      <w:r>
        <w:rPr>
          <w:rFonts w:ascii="Arial" w:hAnsi="Arial"/>
          <w:b/>
          <w:sz w:val="56"/>
        </w:rPr>
        <w:t>Tools &amp; Databases Summary</w:t>
      </w:r>
    </w:p>
    <w:p>
      <w:pPr>
        <w:pStyle w:val="ListBullet"/>
      </w:pPr>
      <w:r>
        <w:rPr>
          <w:rFonts w:ascii="Arial" w:hAnsi="Arial"/>
          <w:sz w:val="48"/>
        </w:rPr>
        <w:t>NCBI GenBank – Gene sequence and annotation retrieval</w:t>
      </w:r>
    </w:p>
    <w:p>
      <w:pPr>
        <w:pStyle w:val="ListBullet"/>
      </w:pPr>
      <w:r>
        <w:rPr>
          <w:rFonts w:ascii="Arial" w:hAnsi="Arial"/>
          <w:sz w:val="48"/>
        </w:rPr>
        <w:t>Ensembl REST API – Transcript and genomic data</w:t>
      </w:r>
    </w:p>
    <w:p>
      <w:pPr>
        <w:pStyle w:val="ListBullet"/>
      </w:pPr>
      <w:r>
        <w:rPr>
          <w:rFonts w:ascii="Arial" w:hAnsi="Arial"/>
          <w:sz w:val="48"/>
        </w:rPr>
        <w:t>UCSC Genome Browser – Comparative genomics and visualization</w:t>
      </w:r>
    </w:p>
    <w:p>
      <w:pPr>
        <w:pStyle w:val="ListBullet"/>
      </w:pPr>
      <w:r>
        <w:rPr>
          <w:rFonts w:ascii="Arial" w:hAnsi="Arial"/>
          <w:sz w:val="48"/>
        </w:rPr>
        <w:t>OT-score Algorithm – Off-target binding prediction</w:t>
      </w:r>
    </w:p>
    <w:p>
      <w:pPr>
        <w:pStyle w:val="ListBullet"/>
      </w:pPr>
      <w:r>
        <w:rPr>
          <w:rFonts w:ascii="Arial" w:hAnsi="Arial"/>
          <w:sz w:val="48"/>
        </w:rPr>
        <w:t>CRISPOR – Genomic uniqueness and off-target assessment</w:t>
      </w:r>
    </w:p>
    <w:p>
      <w:pPr>
        <w:pStyle w:val="ListBullet"/>
      </w:pPr>
      <w:r>
        <w:rPr>
          <w:rFonts w:ascii="Arial" w:hAnsi="Arial"/>
          <w:sz w:val="48"/>
        </w:rPr>
        <w:t>SeqAnyWhere – Rapid sequence matching across genomes</w:t>
      </w:r>
    </w:p>
    <w:p>
      <w:pPr>
        <w:pStyle w:val="ListBullet"/>
      </w:pPr>
      <w:r>
        <w:rPr>
          <w:rFonts w:ascii="Arial" w:hAnsi="Arial"/>
          <w:sz w:val="48"/>
        </w:rPr>
        <w:t>RNAfold/mfold – RNA secondary structure prediction</w:t>
      </w:r>
    </w:p>
    <w:p>
      <w:pPr>
        <w:pStyle w:val="ListBullet"/>
      </w:pPr>
      <w:r>
        <w:rPr>
          <w:rFonts w:ascii="Arial" w:hAnsi="Arial"/>
          <w:sz w:val="48"/>
        </w:rPr>
        <w:t>ChemSpider/PubChem – Chemical structure databases</w:t>
      </w:r>
    </w:p>
    <w:p>
      <w:pPr>
        <w:pStyle w:val="ListBullet"/>
      </w:pPr>
      <w:r>
        <w:rPr>
          <w:rFonts w:ascii="Arial" w:hAnsi="Arial"/>
          <w:sz w:val="48"/>
        </w:rPr>
        <w:t>SwissADME/ADMETLab – ADMET property prediction</w:t>
      </w:r>
    </w:p>
    <w:p>
      <w:pPr>
        <w:pStyle w:val="ListBullet"/>
      </w:pPr>
      <w:r>
        <w:rPr>
          <w:rFonts w:ascii="Arial" w:hAnsi="Arial"/>
          <w:sz w:val="48"/>
        </w:rPr>
        <w:t>Quiver EP CRISPR Atlas – 18,000 gene perturbations, 500+ neuronal features</w:t>
      </w:r>
    </w:p>
    <w:p>
      <w:pPr>
        <w:pStyle w:val="ListBullet"/>
      </w:pPr>
      <w:r>
        <w:rPr>
          <w:rFonts w:ascii="Arial" w:hAnsi="Arial"/>
          <w:sz w:val="48"/>
        </w:rPr>
        <w:t>Quiver Compound Perturbation Module – Pharmacological phenotype mapping</w:t>
      </w:r>
    </w:p>
    <w:p>
      <w:pPr>
        <w:pStyle w:val="ListBullet"/>
      </w:pPr>
      <w:r>
        <w:rPr>
          <w:rFonts w:ascii="Arial" w:hAnsi="Arial"/>
          <w:sz w:val="48"/>
        </w:rPr>
        <w:t>GTEx Portal – Tissue-specific gene expression</w:t>
      </w:r>
    </w:p>
    <w:p>
      <w:pPr>
        <w:pStyle w:val="ListBullet"/>
      </w:pPr>
      <w:r>
        <w:rPr>
          <w:rFonts w:ascii="Arial" w:hAnsi="Arial"/>
          <w:sz w:val="48"/>
        </w:rPr>
        <w:t>FDA Drug Safety Database – Adverse event surveillance</w:t>
      </w:r>
    </w:p>
    <w:p>
      <w:pPr>
        <w:pStyle w:val="ListBullet"/>
      </w:pPr>
      <w:r>
        <w:rPr>
          <w:rFonts w:ascii="Arial" w:hAnsi="Arial"/>
          <w:sz w:val="48"/>
        </w:rPr>
        <w:t>Gene Ontology Database – Functional annotation</w:t>
      </w:r>
    </w:p>
    <w:p>
      <w:pPr>
        <w:pStyle w:val="ListBullet"/>
      </w:pPr>
      <w:r>
        <w:rPr>
          <w:rFonts w:ascii="Arial" w:hAnsi="Arial"/>
          <w:sz w:val="48"/>
        </w:rPr>
        <w:t>Multi-Criteria Decision Analysis (MCDA) Engine – Candidate prioritization</w:t>
      </w:r>
    </w:p>
    <w:p>
      <w:pPr>
        <w:pStyle w:val="ListBullet"/>
      </w:pPr>
      <w:r>
        <w:rPr>
          <w:rFonts w:ascii="Arial" w:hAnsi="Arial"/>
          <w:sz w:val="48"/>
        </w:rPr>
        <w:t>Sapphire Integrated Prediction Engine – Efficacy and safety modeling</w:t>
      </w:r>
    </w:p>
    <w:sectPr w:rsidR="00FC693F" w:rsidRPr="0006063C" w:rsidSect="00034616">
      <w:pgSz w:w="12240" w:h="15840"/>
      <w:pgMar w:top="2" w:right="2" w:bottom="2" w:left="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