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</w:pPr>
      <w:r>
        <w:t xml:space="preserve">Sapphire Pipeline Workflow</w:t>
      </w:r>
    </w:p>
    <w:p>
      <w:pPr>
        <w:pStyle w:val="Heading2"/>
        <w:spacing w:before="200" w:after="200"/>
      </w:pPr>
      <w:r>
        <w:t xml:space="preserve">Prompt: "Generate allele-specific ASOs for a pathogenic gain-of-function mutation in SCN8A."</w:t>
      </w:r>
    </w:p>
    <w:p>
      <w:pPr>
        <w:spacing w:after="3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before="200" w:after="200"/>
      </w:pPr>
      <w:r>
        <w:t xml:space="preserve">Pipeline Overview</w:t>
      </w:r>
    </w:p>
    <w:p>
      <w:pPr>
        <w:spacing w:after="300" w:line="360"/>
      </w:pPr>
      <w:r>
        <w:t xml:space="preserve">This pipeline designs allele-specific ASOs (antisense oligonucleotides) to selectively knock down the mutant SCN8A allele while preserving wild-type Nav1.6 function. SCN8A gain-of-function (GoF) mutations, such as R1872W, R1617Q, and N1768D, cause severe early-onset epilepsy (EIEE13), a devastating neurological disorder. The therapeutic challenge lies in discriminating the pathogenic allele from the normal allele through selective targeting.</w:t>
      </w:r>
    </w:p>
    <w:p>
      <w:pPr>
        <w:spacing w:after="300" w:line="360"/>
      </w:pPr>
      <w:r>
        <w:t xml:space="preserve">Allele-selective ASO design requires identifying discriminating single nucleotide polymorphisms (SNPs) in strong linkage disequilibrium with the pathogenic mutation, optimizing mismatch positioning for maximum knockdown selectivity, and rigorously validating off-target safety. The six-stage pipeline systematically addresses mutation characterization, SNP discovery, ASO design optimization, selectivity prediction, safety assessment, and candidate validation.</w:t>
      </w:r>
    </w:p>
    <w:p>
      <w:pPr>
        <w:pStyle w:val="Heading2"/>
        <w:spacing w:before="200" w:after="200"/>
      </w:pPr>
      <w:r>
        <w:t xml:space="preserve">Stage 1: SCN8A Mutation &amp; Allele Characterization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Identify the specific gain-of-function mutation in SCN8A, determine the zygosity status of the patient, and retrieve comprehensive genotype data to establish baseline allele information.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Patient genomic DNA or sequencing data (WES, whole-genome sequencing, or targeted SCN8A sequencing)</w:t>
      </w:r>
    </w:p>
    <w:p>
      <w:pPr>
        <w:spacing w:after="100"/>
      </w:pPr>
      <w:r>
        <w:t xml:space="preserve">SCN8A reference transcript (NM_014191)</w:t>
      </w:r>
    </w:p>
    <w:p>
      <w:pPr>
        <w:spacing w:after="100"/>
      </w:pPr>
      <w:r>
        <w:t xml:space="preserve">Mutation nomenclature and confirmed pathogenicity classification</w:t>
      </w:r>
    </w:p>
    <w:p>
      <w:pPr>
        <w:spacing w:after="100"/>
      </w:pPr>
      <w:r>
        <w:t xml:space="preserve">Patient phenotype and clinical presentation (early-onset epilepsy severity)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t xml:space="preserve">ClinVar: Retrieve phenotype assertions and evidence for the specific SCN8A mutation</w:t>
      </w:r>
    </w:p>
    <w:p>
      <w:pPr>
        <w:spacing w:after="100"/>
      </w:pPr>
      <w:r>
        <w:t xml:space="preserve">OMIM: Access SCN8A disease association and EIEE13 clinical criteria</w:t>
      </w:r>
    </w:p>
    <w:p>
      <w:pPr>
        <w:spacing w:after="100"/>
      </w:pPr>
      <w:r>
        <w:t xml:space="preserve">gnomAD (SCN8A variant data): Determine population frequency and allele count</w:t>
      </w:r>
    </w:p>
    <w:p>
      <w:pPr>
        <w:spacing w:after="100"/>
      </w:pPr>
      <w:r>
        <w:t xml:space="preserve">Ensembl VEP: Predict functional impact and transcript consequences</w:t>
      </w:r>
    </w:p>
    <w:p>
      <w:pPr>
        <w:spacing w:after="100"/>
      </w:pPr>
      <w:r>
        <w:t xml:space="preserve">PubMed (published SCN8A epilepsy literature): Gather prior studies on this mutation or similar GoF variants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What are the reported functional consequences of [specific mutation] in SCN8A?</w:t>
      </w:r>
    </w:p>
    <w:p>
      <w:pPr>
        <w:spacing w:after="100"/>
      </w:pPr>
      <w:r>
        <w:t xml:space="preserve">Is the patient heterozygous or hemizygous for this mutation?</w:t>
      </w:r>
    </w:p>
    <w:p>
      <w:pPr>
        <w:spacing w:after="100"/>
      </w:pPr>
      <w:r>
        <w:t xml:space="preserve">What are the known GU-rich or immunostimulatory motifs near the mutation site?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Confirmed mutation nomenclature (HGVS standard)</w:t>
      </w:r>
    </w:p>
    <w:p>
      <w:pPr>
        <w:spacing w:after="100"/>
      </w:pPr>
      <w:r>
        <w:t xml:space="preserve">Zygosity status (heterozygous/hemizygous)</w:t>
      </w:r>
    </w:p>
    <w:p>
      <w:pPr>
        <w:spacing w:after="100"/>
      </w:pPr>
      <w:r>
        <w:t xml:space="preserve">Transcript location and exon/intron mapping</w:t>
      </w:r>
    </w:p>
    <w:p>
      <w:pPr>
        <w:spacing w:after="100"/>
      </w:pPr>
      <w:r>
        <w:t xml:space="preserve">ClinVar pathogenicity rating and clinical significance summary</w:t>
      </w:r>
    </w:p>
    <w:p>
      <w:pPr>
        <w:spacing w:after="100"/>
      </w:pPr>
      <w:r>
        <w:t xml:space="preserve">Population allele frequency and gnomAD AC/AN values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Structured text report with mutation details, zygosity confirmation, and literature-backed functional classification.</w:t>
      </w:r>
    </w:p>
    <w:p>
      <w:pPr>
        <w:pStyle w:val="Heading2"/>
        <w:spacing w:before="200" w:after="200"/>
      </w:pPr>
      <w:r>
        <w:t xml:space="preserve">Stage 2: Discriminating SNP Identification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Identify heterozygous single nucleotide polymorphisms (SNPs) on the same haplotype as the pathogenic mutation that can serve as allele-specific ASO discrimination sites, ensuring SNPs are positioned within ASO-targetable distance or within the same transcript region.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Patient genotype data (VCF, SNP array, or WES BAM file with haplotype phasing)</w:t>
      </w:r>
    </w:p>
    <w:p>
      <w:pPr>
        <w:spacing w:after="100"/>
      </w:pPr>
      <w:r>
        <w:t xml:space="preserve">Pathogenic mutation coordinates (chromosome, position, allele)</w:t>
      </w:r>
    </w:p>
    <w:p>
      <w:pPr>
        <w:spacing w:after="100"/>
      </w:pPr>
      <w:r>
        <w:t xml:space="preserve">SCN8A genomic region (transcript boundaries, coding sequence span)</w:t>
      </w:r>
    </w:p>
    <w:p>
      <w:pPr>
        <w:spacing w:after="100"/>
      </w:pPr>
      <w:r>
        <w:t xml:space="preserve">Desired ASO target window (typically ±200 bp from mutation for maximum linkage)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t xml:space="preserve">dbSNP: Query known SNPs in the SCN8A region and filter by heterozygosity</w:t>
      </w:r>
    </w:p>
    <w:p>
      <w:pPr>
        <w:spacing w:after="100"/>
      </w:pPr>
      <w:r>
        <w:t xml:space="preserve">gnomAD (population heterozygosity data): Assess allele frequency and heterozygosity in relevant populations</w:t>
      </w:r>
    </w:p>
    <w:p>
      <w:pPr>
        <w:spacing w:after="100"/>
      </w:pPr>
      <w:r>
        <w:t xml:space="preserve">HaploReg: Cross-reference SNP annotation and regulatory context</w:t>
      </w:r>
    </w:p>
    <w:p>
      <w:pPr>
        <w:spacing w:after="100"/>
      </w:pPr>
      <w:r>
        <w:t xml:space="preserve">1000 Genomes phased haplotypes: Determine SNPs in strong LD with pathogenic mutation</w:t>
      </w:r>
    </w:p>
    <w:p>
      <w:pPr>
        <w:spacing w:after="100"/>
      </w:pPr>
      <w:r>
        <w:t xml:space="preserve">LDlink (linkage disequilibrium analysis): Quantify r² and D' between candidate SNPs and mutation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Which SNPs in the SCN8A locus are heterozygous in the patient and in linkage disequilibrium (r² &gt; 0.8) with the pathogenic mutation?</w:t>
      </w:r>
    </w:p>
    <w:p>
      <w:pPr>
        <w:spacing w:after="100"/>
      </w:pPr>
      <w:r>
        <w:t xml:space="preserve">What are the allele frequencies of candidate discriminating SNPs in relevant populations?</w:t>
      </w:r>
    </w:p>
    <w:p>
      <w:pPr>
        <w:spacing w:after="100"/>
      </w:pPr>
      <w:r>
        <w:t xml:space="preserve">Are there any SNPs within the same exon or immediately adjacent to the mutation?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Ranked list of discriminating SNPs with LD statistics (r², D') relative to mutation</w:t>
      </w:r>
    </w:p>
    <w:p>
      <w:pPr>
        <w:spacing w:after="100"/>
      </w:pPr>
      <w:r>
        <w:t xml:space="preserve">Genomic positions and dbSNP rsIDs for each candidate SNP</w:t>
      </w:r>
    </w:p>
    <w:p>
      <w:pPr>
        <w:spacing w:after="100"/>
      </w:pPr>
      <w:r>
        <w:t xml:space="preserve">Allele frequencies and heterozygosity rates (population-specific)</w:t>
      </w:r>
    </w:p>
    <w:p>
      <w:pPr>
        <w:spacing w:after="100"/>
      </w:pPr>
      <w:r>
        <w:t xml:space="preserve">Haplotype block structure and co-inheritance confirmation</w:t>
      </w:r>
    </w:p>
    <w:p>
      <w:pPr>
        <w:spacing w:after="100"/>
      </w:pPr>
      <w:r>
        <w:t xml:space="preserve">SNP-to-mutation distance and ASO targeting feasibility score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Ranked table with SNP identifiers, positions, allele calls, LD statistics, and ASO design feasibility scores.</w:t>
      </w:r>
    </w:p>
    <w:p>
      <w:pPr>
        <w:pStyle w:val="Heading2"/>
        <w:spacing w:before="200" w:after="200"/>
      </w:pPr>
      <w:r>
        <w:t xml:space="preserve">Stage 3: Allele-Selective ASO Design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Design ASOs that target the discriminating SNP or the mutation site itself, optimizing mismatch positioning to achieve maximum allele selectivity (mutant knockdown with wild-type preservation).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Discriminating SNP position and flanking sequence (±50 bp context)</w:t>
      </w:r>
    </w:p>
    <w:p>
      <w:pPr>
        <w:spacing w:after="100"/>
      </w:pPr>
      <w:r>
        <w:t xml:space="preserve">Pathogenic mutation sequence context</w:t>
      </w:r>
    </w:p>
    <w:p>
      <w:pPr>
        <w:spacing w:after="100"/>
      </w:pPr>
      <w:r>
        <w:t xml:space="preserve">SCN8A target accessibility data (preferably from published accessibility studies or RNAfold predictions)</w:t>
      </w:r>
    </w:p>
    <w:p>
      <w:pPr>
        <w:spacing w:after="100"/>
      </w:pPr>
      <w:r>
        <w:t xml:space="preserve">ASO chemical modification preferences (e.g., 2'MOE, PS backbone)</w:t>
      </w:r>
    </w:p>
    <w:p>
      <w:pPr>
        <w:spacing w:after="100"/>
      </w:pPr>
      <w:r>
        <w:t xml:space="preserve">Desired ASO length (typically 18–25 nt)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t xml:space="preserve">Quiver ASO Design Module: Generate candidate ASO sequences with mismatch optimization</w:t>
      </w:r>
    </w:p>
    <w:p>
      <w:pPr>
        <w:spacing w:after="100"/>
      </w:pPr>
      <w:r>
        <w:t xml:space="preserve">Published allele-selective ASO design rules: Apply Wave/Ionis conventions for mismatch positioning</w:t>
      </w:r>
    </w:p>
    <w:p>
      <w:pPr>
        <w:spacing w:after="100"/>
      </w:pPr>
      <w:r>
        <w:t xml:space="preserve">Thermodynamic mismatch discrimination calculations: Compute Tm differences between mutant and wild-type targets</w:t>
      </w:r>
    </w:p>
    <w:p>
      <w:pPr>
        <w:spacing w:after="100"/>
      </w:pPr>
      <w:r>
        <w:t xml:space="preserve">RNAfold: Predict secondary structure and target accessibility for each ASO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Design allele-selective ASOs targeting the [discriminating SNP] with a terminal mismatch to the wild-type allele.</w:t>
      </w:r>
    </w:p>
    <w:p>
      <w:pPr>
        <w:spacing w:after="100"/>
      </w:pPr>
      <w:r>
        <w:t xml:space="preserve">What is the predicted Tm difference between ASO binding to the mutant versus wild-type sequence?</w:t>
      </w:r>
    </w:p>
    <w:p>
      <w:pPr>
        <w:spacing w:after="100"/>
      </w:pPr>
      <w:r>
        <w:t xml:space="preserve">Which ASO designs have optimal target accessibility based on secondary structure predictions?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List of 5–10 candidate ASO sequences (18–25 nt, fully specified with chemical modifications)</w:t>
      </w:r>
    </w:p>
    <w:p>
      <w:pPr>
        <w:spacing w:after="100"/>
      </w:pPr>
      <w:r>
        <w:t xml:space="preserve">Mismatch positioning diagram and binding energy calculations (ΔG for mutant vs. wild-type)</w:t>
      </w:r>
    </w:p>
    <w:p>
      <w:pPr>
        <w:spacing w:after="100"/>
      </w:pPr>
      <w:r>
        <w:t xml:space="preserve">Predicted Tm for each ASO against mutant and wild-type targets</w:t>
      </w:r>
    </w:p>
    <w:p>
      <w:pPr>
        <w:spacing w:after="100"/>
      </w:pPr>
      <w:r>
        <w:t xml:space="preserve">Secondary structure predictions and target accessibility scores</w:t>
      </w:r>
    </w:p>
    <w:p>
      <w:pPr>
        <w:spacing w:after="100"/>
      </w:pPr>
      <w:r>
        <w:t xml:space="preserve">Chemical modification specification (PS backbone, 2'MOE caps, etc.)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Detailed sequence alignment table with thermodynamic parameters, mismatch positions, and accessibility scores for each candidate ASO.</w:t>
      </w:r>
    </w:p>
    <w:p>
      <w:pPr>
        <w:pStyle w:val="Heading2"/>
        <w:spacing w:before="200" w:after="200"/>
      </w:pPr>
      <w:r>
        <w:t xml:space="preserve">Stage 4: Selectivity &amp; Efficacy Prediction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Predict the allele discrimination ratio (mutant knockdown / wild-type knockdown) and absolute knockdown efficiency of the mutant allele, targeting &gt;5-fold selectivity and &gt;50% mutant knockdown.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Candidate ASO sequences and their thermodynamic parameters (Tm, ΔG)</w:t>
      </w:r>
    </w:p>
    <w:p>
      <w:pPr>
        <w:spacing w:after="100"/>
      </w:pPr>
      <w:r>
        <w:t xml:space="preserve">Published dose-response data for structurally similar ASOs</w:t>
      </w:r>
    </w:p>
    <w:p>
      <w:pPr>
        <w:spacing w:after="100"/>
      </w:pPr>
      <w:r>
        <w:t xml:space="preserve">Patient target sequence context (mutations, SNPs, secondary structure)</w:t>
      </w:r>
    </w:p>
    <w:p>
      <w:pPr>
        <w:spacing w:after="100"/>
      </w:pPr>
      <w:r>
        <w:t xml:space="preserve">Predicted wild-type vs. mutant binding energies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t xml:space="preserve">Thermodynamic mismatch models: Calculate binding free energy differences</w:t>
      </w:r>
    </w:p>
    <w:p>
      <w:pPr>
        <w:spacing w:after="100"/>
      </w:pPr>
      <w:r>
        <w:t xml:space="preserve">Published allele-selective ASO efficacy data: Reference prior successful allele-selective designs</w:t>
      </w:r>
    </w:p>
    <w:p>
      <w:pPr>
        <w:spacing w:after="100"/>
      </w:pPr>
      <w:r>
        <w:t xml:space="preserve">Quiver EP dose-response predictions: Model knockdown efficiency across ASO doses</w:t>
      </w:r>
    </w:p>
    <w:p>
      <w:pPr>
        <w:spacing w:after="100"/>
      </w:pPr>
      <w:r>
        <w:t xml:space="preserve">Mfold/UNAfold: Compute detailed binding energy landscapes and co-folding scenarios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Based on thermodynamic mismatch theory, what selectivity ratio (mutant/wild-type knockdown) is predicted for each ASO?</w:t>
      </w:r>
    </w:p>
    <w:p>
      <w:pPr>
        <w:spacing w:after="100"/>
      </w:pPr>
      <w:r>
        <w:t xml:space="preserve">What is the predicted IC50 for mutant allele knockdown, and does it fall within a therapeutic window?</w:t>
      </w:r>
    </w:p>
    <w:p>
      <w:pPr>
        <w:spacing w:after="100"/>
      </w:pPr>
      <w:r>
        <w:t xml:space="preserve">How do published allele-selective ASO examples with similar mismatch patterns perform?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Selectivity ratio (mutant knockdown % / wild-type knockdown %) for each ASO candidate</w:t>
      </w:r>
    </w:p>
    <w:p>
      <w:pPr>
        <w:spacing w:after="100"/>
      </w:pPr>
      <w:r>
        <w:t xml:space="preserve">Predicted absolute knockdown of mutant allele (% reduction in mutant mRNA/protein)</w:t>
      </w:r>
    </w:p>
    <w:p>
      <w:pPr>
        <w:spacing w:after="100"/>
      </w:pPr>
      <w:r>
        <w:t xml:space="preserve">Dose-response curves and predicted IC50 values</w:t>
      </w:r>
    </w:p>
    <w:p>
      <w:pPr>
        <w:spacing w:after="100"/>
      </w:pPr>
      <w:r>
        <w:t xml:space="preserve">Comparative benchmark against published allele-selective ASO standards</w:t>
      </w:r>
    </w:p>
    <w:p>
      <w:pPr>
        <w:spacing w:after="100"/>
      </w:pPr>
      <w:r>
        <w:t xml:space="preserve">Selectivity ranking and top 3–5 candidates for further validation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Ranking table with selectivity ratios, predicted knockdown percentages, and confidence scores for each candidate.</w:t>
      </w:r>
    </w:p>
    <w:p>
      <w:pPr>
        <w:pStyle w:val="Heading2"/>
        <w:spacing w:before="200" w:after="200"/>
      </w:pPr>
      <w:r>
        <w:t xml:space="preserve">Stage 5: Off-Target &amp; Safety Assessment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Assess off-target binding to the human transcriptome, evaluate SCN8A loss-of-function (LoF) risk, and screen for immunostimulatory motifs to ensure safety and tolerability.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Candidate ASO sequences (18–25 nt)</w:t>
      </w:r>
    </w:p>
    <w:p>
      <w:pPr>
        <w:spacing w:after="100"/>
      </w:pPr>
      <w:r>
        <w:t xml:space="preserve">Human transcriptome FASTA or indexed database</w:t>
      </w:r>
    </w:p>
    <w:p>
      <w:pPr>
        <w:spacing w:after="100"/>
      </w:pPr>
      <w:r>
        <w:t xml:space="preserve">SCN8A coding and non-coding transcript annotations</w:t>
      </w:r>
    </w:p>
    <w:p>
      <w:pPr>
        <w:spacing w:after="100"/>
      </w:pPr>
      <w:r>
        <w:t xml:space="preserve">Known immunostimulatory motif definitions (CpG, GU-rich)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t xml:space="preserve">BLAST/Bowtie2: Search for off-target binding sites in human transcriptome</w:t>
      </w:r>
    </w:p>
    <w:p>
      <w:pPr>
        <w:spacing w:after="100"/>
      </w:pPr>
      <w:r>
        <w:t xml:space="preserve">DepMap (SCN8A essentiality): Assess gene essentiality and haploinsufficiency risk</w:t>
      </w:r>
    </w:p>
    <w:p>
      <w:pPr>
        <w:spacing w:after="100"/>
      </w:pPr>
      <w:r>
        <w:t xml:space="preserve">Quiver EP Toxicity Atlas: Cross-reference known ASO toxicity patterns and mechanisms</w:t>
      </w:r>
    </w:p>
    <w:p>
      <w:pPr>
        <w:spacing w:after="100"/>
      </w:pPr>
      <w:r>
        <w:t xml:space="preserve">CpG/GU-rich motif scanner: Identify immunostimulatory sequences within ASO</w:t>
      </w:r>
    </w:p>
    <w:p>
      <w:pPr>
        <w:spacing w:after="100"/>
      </w:pPr>
      <w:r>
        <w:t xml:space="preserve">Published SCN8A safety literature: Review clinical data on Nav1.6 LoF phenotypes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Does each ASO have any perfect or near-perfect off-target matches in the human transcriptome?</w:t>
      </w:r>
    </w:p>
    <w:p>
      <w:pPr>
        <w:spacing w:after="100"/>
      </w:pPr>
      <w:r>
        <w:t xml:space="preserve">What is the risk of unintended SCN8A wild-type knockdown if selectivity is imperfect?</w:t>
      </w:r>
    </w:p>
    <w:p>
      <w:pPr>
        <w:spacing w:after="100"/>
      </w:pPr>
      <w:r>
        <w:t xml:space="preserve">Are there CpG or GU-rich immunostimulatory motifs within the ASO sequence?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Off-target search results (e.g., matched transcripts, mismatch counts, binding probability)</w:t>
      </w:r>
    </w:p>
    <w:p>
      <w:pPr>
        <w:spacing w:after="100"/>
      </w:pPr>
      <w:r>
        <w:t xml:space="preserve">SCN8A LoF risk assessment and haploinsufficiency likelihood</w:t>
      </w:r>
    </w:p>
    <w:p>
      <w:pPr>
        <w:spacing w:after="100"/>
      </w:pPr>
      <w:r>
        <w:t xml:space="preserve">Immunostimulatory motif inventory (CpG content, GU repeats)</w:t>
      </w:r>
    </w:p>
    <w:p>
      <w:pPr>
        <w:spacing w:after="100"/>
      </w:pPr>
      <w:r>
        <w:t xml:space="preserve">Safety ranking and risk-benefit assessment for each candidate</w:t>
      </w:r>
    </w:p>
    <w:p>
      <w:pPr>
        <w:spacing w:after="100"/>
      </w:pPr>
      <w:r>
        <w:t xml:space="preserve">Recommendations for chemical modification to reduce off-target risk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Off-target summary table with transcript matches, mismatch counts, and safety risk scores; separate immunostimulatory motif report.</w:t>
      </w:r>
    </w:p>
    <w:p>
      <w:pPr>
        <w:pStyle w:val="Heading2"/>
        <w:spacing w:before="200" w:after="200"/>
      </w:pPr>
      <w:r>
        <w:t xml:space="preserve">Stage 6: Final Candidate Selection &amp; Validation Plan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Select the top allele-specific ASO candidates, specify complete sequences with chemical modifications, and design a comprehensive validation strategy including patient iPSC-neuron experiments.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Ranked ASO candidates from Stages 3, 4, and 5</w:t>
      </w:r>
    </w:p>
    <w:p>
      <w:pPr>
        <w:spacing w:after="100"/>
      </w:pPr>
      <w:r>
        <w:t xml:space="preserve">Complete selectivity, efficacy, and safety assessment data</w:t>
      </w:r>
    </w:p>
    <w:p>
      <w:pPr>
        <w:spacing w:after="100"/>
      </w:pPr>
      <w:r>
        <w:t xml:space="preserve">Patient iPSC lines or available cellular models</w:t>
      </w:r>
    </w:p>
    <w:p>
      <w:pPr>
        <w:spacing w:after="100"/>
      </w:pPr>
      <w:r>
        <w:t xml:space="preserve">Patent landscape and prior art ASO designs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t xml:space="preserve">Sapphire ASO Scoring Engine: Integrate selectivity, efficacy, safety scores into final ranking</w:t>
      </w:r>
    </w:p>
    <w:p>
      <w:pPr>
        <w:spacing w:after="100"/>
      </w:pPr>
      <w:r>
        <w:t xml:space="preserve">Quiver Confidence Scoring: Assign confidence metrics based on design rule compliance</w:t>
      </w:r>
    </w:p>
    <w:p>
      <w:pPr>
        <w:spacing w:after="100"/>
      </w:pPr>
      <w:r>
        <w:t xml:space="preserve">Lens.org (patent landscape): Search for existing patents or claims on ASO designs</w:t>
      </w:r>
    </w:p>
    <w:p>
      <w:pPr>
        <w:spacing w:after="100"/>
      </w:pPr>
      <w:r>
        <w:t xml:space="preserve">Published in vitro allele discrimination assay protocols: Define experimental validation approach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Based on integrated scoring, which are the top 1–3 allele-specific ASO candidates?</w:t>
      </w:r>
    </w:p>
    <w:p>
      <w:pPr>
        <w:spacing w:after="100"/>
      </w:pPr>
      <w:r>
        <w:t xml:space="preserve">What is the complete chemical modification specification for each top candidate?</w:t>
      </w:r>
    </w:p>
    <w:p>
      <w:pPr>
        <w:spacing w:after="100"/>
      </w:pPr>
      <w:r>
        <w:t xml:space="preserve">What in vitro and ex vivo assays would best validate allele-selective knockdown?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Top 1–3 ASO candidates with complete sequences and chemical specifications</w:t>
      </w:r>
    </w:p>
    <w:p>
      <w:pPr>
        <w:spacing w:after="100"/>
      </w:pPr>
      <w:r>
        <w:t xml:space="preserve">Integrated scoring summary (selectivity, efficacy, safety, confidence)</w:t>
      </w:r>
    </w:p>
    <w:p>
      <w:pPr>
        <w:spacing w:after="100"/>
      </w:pPr>
      <w:r>
        <w:t xml:space="preserve">Detailed validation protocol for patient iPSC-derived neurons (differentiation, transfection, readout)</w:t>
      </w:r>
    </w:p>
    <w:p>
      <w:pPr>
        <w:spacing w:after="100"/>
      </w:pPr>
      <w:r>
        <w:t xml:space="preserve">Patent landscape summary and IP considerations</w:t>
      </w:r>
    </w:p>
    <w:p>
      <w:pPr>
        <w:spacing w:after="100"/>
      </w:pPr>
      <w:r>
        <w:t xml:space="preserve">Recommended next steps: toxicology studies, GLP manufacturing, IND regulatory pathway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Final candidate briefing document with sequences, chemical structure diagrams, integrated scoring justification, and experimental validation roadmap.</w:t>
      </w:r>
    </w:p>
    <w:p>
      <w:pPr>
        <w:pStyle w:val="Heading2"/>
        <w:spacing w:before="200" w:after="200"/>
      </w:pPr>
      <w:r>
        <w:t xml:space="preserve">Tools &amp; Databases Summary</w:t>
      </w:r>
    </w:p>
    <w:p>
      <w:pPr>
        <w:spacing w:after="100"/>
      </w:pPr>
      <w:r>
        <w:t xml:space="preserve">ClinVar: Clinical variant database and pathogenicity assertions</w:t>
      </w:r>
    </w:p>
    <w:p>
      <w:pPr>
        <w:spacing w:after="100"/>
      </w:pPr>
      <w:r>
        <w:t xml:space="preserve">OMIM: Online Mendelian Inheritance in Man; disease and gene information</w:t>
      </w:r>
    </w:p>
    <w:p>
      <w:pPr>
        <w:spacing w:after="100"/>
      </w:pPr>
      <w:r>
        <w:t xml:space="preserve">gnomAD: Genome Aggregation Database; population variant frequencies</w:t>
      </w:r>
    </w:p>
    <w:p>
      <w:pPr>
        <w:spacing w:after="100"/>
      </w:pPr>
      <w:r>
        <w:t xml:space="preserve">Ensembl VEP: Variant Effect Predictor; functional consequence annotation</w:t>
      </w:r>
    </w:p>
    <w:p>
      <w:pPr>
        <w:spacing w:after="100"/>
      </w:pPr>
      <w:r>
        <w:t xml:space="preserve">PubMed: Biomedical literature search; published SCN8A and ASO studies</w:t>
      </w:r>
    </w:p>
    <w:p>
      <w:pPr>
        <w:spacing w:after="100"/>
      </w:pPr>
      <w:r>
        <w:t xml:space="preserve">dbSNP: SNP database; variant annotation and population frequencies</w:t>
      </w:r>
    </w:p>
    <w:p>
      <w:pPr>
        <w:spacing w:after="100"/>
      </w:pPr>
      <w:r>
        <w:t xml:space="preserve">HaploReg: Haplotype-resolved SNP annotations and regulatory context</w:t>
      </w:r>
    </w:p>
    <w:p>
      <w:pPr>
        <w:spacing w:after="100"/>
      </w:pPr>
      <w:r>
        <w:t xml:space="preserve">1000 Genomes: Phased haplotype data and linkage disequilibrium maps</w:t>
      </w:r>
    </w:p>
    <w:p>
      <w:pPr>
        <w:spacing w:after="100"/>
      </w:pPr>
      <w:r>
        <w:t xml:space="preserve">LDlink: Linkage disequilibrium analysis and population-specific r² / D' calculations</w:t>
      </w:r>
    </w:p>
    <w:p>
      <w:pPr>
        <w:spacing w:after="100"/>
      </w:pPr>
      <w:r>
        <w:t xml:space="preserve">Quiver ASO Design Module: ASO sequence design and optimization platform</w:t>
      </w:r>
    </w:p>
    <w:p>
      <w:pPr>
        <w:spacing w:after="100"/>
      </w:pPr>
      <w:r>
        <w:t xml:space="preserve">RNAfold: RNA secondary structure prediction and target accessibility</w:t>
      </w:r>
    </w:p>
    <w:p>
      <w:pPr>
        <w:spacing w:after="100"/>
      </w:pPr>
      <w:r>
        <w:t xml:space="preserve">Mfold/UNAfold: Thermodynamic RNA folding and binding energy calculations</w:t>
      </w:r>
    </w:p>
    <w:p>
      <w:pPr>
        <w:spacing w:after="100"/>
      </w:pPr>
      <w:r>
        <w:t xml:space="preserve">BLAST/Bowtie2: Off-target binding search against transcriptome</w:t>
      </w:r>
    </w:p>
    <w:p>
      <w:pPr>
        <w:spacing w:after="100"/>
      </w:pPr>
      <w:r>
        <w:t xml:space="preserve">DepMap: Dependency and essentiality scores; gene function assessment</w:t>
      </w:r>
    </w:p>
    <w:p>
      <w:pPr>
        <w:spacing w:after="100"/>
      </w:pPr>
      <w:r>
        <w:t xml:space="preserve">Quiver EP Toxicity Atlas: Known ASO toxicity mechanisms and risk profiles</w:t>
      </w:r>
    </w:p>
    <w:p>
      <w:pPr>
        <w:spacing w:after="100"/>
      </w:pPr>
      <w:r>
        <w:t xml:space="preserve">CpG motif scanner: Identify CpG-rich and immunostimulatory sequences</w:t>
      </w:r>
    </w:p>
    <w:p>
      <w:pPr>
        <w:spacing w:after="100"/>
      </w:pPr>
      <w:r>
        <w:t xml:space="preserve">Sapphire ASO Scoring Engine: Integrated multi-criteria ranking and candidate selection</w:t>
      </w:r>
    </w:p>
    <w:p>
      <w:pPr>
        <w:spacing w:after="100"/>
      </w:pPr>
      <w:r>
        <w:t xml:space="preserve">Quiver Confidence Scoring: Design quality and rule compliance assessment</w:t>
      </w:r>
    </w:p>
    <w:p>
      <w:pPr>
        <w:spacing w:after="100"/>
      </w:pPr>
      <w:r>
        <w:t xml:space="preserve">Lens.org: Patent landscape search and intellectual property assessment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2026-02-19T01:45:17.675Z</dcterms:created>
  <dcterms:modified xsi:type="dcterms:W3CDTF">2026-02-19T01:45:17.675Z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