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line="360" w:lineRule="auto"/>
      </w:pPr>
      <w:r>
        <w:t xml:space="preserve">Sapphire Pipeline Workflow</w:t>
      </w:r>
    </w:p>
    <w:p>
      <w:pPr>
        <w:pStyle w:val="Heading2"/>
        <w:spacing w:before="200" w:after="200" w:line="360" w:lineRule="auto"/>
      </w:pPr>
      <w:r>
        <w:t xml:space="preserve">Prompt: "Identify antisense targets predicted to normalize hyperexcitability in Dup15q neurons."</w:t>
      </w:r>
    </w:p>
    <w:p>
      <w:pPr>
        <w:spacing w:after="300" w:line="360" w:lineRule="auto"/>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line="360" w:lineRule="auto"/>
      </w:pPr>
      <w:r>
        <w:t xml:space="preserve">Pipeline Overview</w:t>
      </w:r>
    </w:p>
    <w:p>
      <w:pPr>
        <w:spacing w:after="300" w:line="360" w:lineRule="auto"/>
      </w:pPr>
      <w:r>
        <w:rPr>
          <w:rFonts w:ascii="Arial" w:cs="Arial" w:eastAsia="Arial" w:hAnsi="Arial"/>
          <w:sz w:val="24"/>
          <w:szCs w:val="24"/>
        </w:rPr>
        <w:t xml:space="preserve">This pipeline identifies antisense oligonucleotide (ASO) targets to normalize hyperexcitability in Dup15q syndrome neurons. Dup15q (duplication of 15q11.2-q13.1) involves overexpression of key genes including UBE3A, GABRB3, GABRA5, and GABRG3 in the critical region. The electrophysiological phenotype is characterized by neuronal hyperexcitability with seizures. ASO targets could include the duplicated genes themselves or compensatory pathway genes that modulate the hyperexcitability phenotype.</w:t>
      </w:r>
    </w:p>
    <w:p>
      <w:pPr>
        <w:spacing w:after="300" w:line="360" w:lineRule="auto"/>
      </w:pPr>
      <w:r>
        <w:rPr>
          <w:rFonts w:ascii="Arial" w:cs="Arial" w:eastAsia="Arial" w:hAnsi="Arial"/>
          <w:sz w:val="24"/>
          <w:szCs w:val="24"/>
        </w:rPr>
        <w:t xml:space="preserve">The pipeline proceeds through six sequential stages: (1) mapping all duplicated region genes and their overexpression signatures, (2) characterizing the hyperexcitability phenotype, (3) prioritizing ASO targets based on knockdown rescue data, (4) designing optimized ASO sequences, (5) assessing safety and off-target risks, and (6) generating an integrated ranking with recommended validation experiments.</w:t>
      </w:r>
    </w:p>
    <w:p>
      <w:pPr>
        <w:pStyle w:val="Heading2"/>
        <w:spacing w:before="200" w:after="200" w:line="360" w:lineRule="auto"/>
      </w:pPr>
      <w:r>
        <w:t xml:space="preserve">Stage 1: Dup15q Critical Region Gene Mapping</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Map all genes in the 15q11.2-q13.1 duplicated region, determine which are overexpressed, and quantify copy number effect on expression levels.</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Dup15q critical region genomic coordinates (15q11.2-q13.1)</w:t>
      </w:r>
    </w:p>
    <w:p>
      <w:pPr>
        <w:pStyle w:val="ListParagraph"/>
        <w:numPr>
          <w:ilvl w:val="0"/>
          <w:numId w:val="2"/>
        </w:numPr>
        <w:spacing w:after="100" w:line="360" w:lineRule="auto"/>
      </w:pPr>
      <w:r>
        <w:rPr>
          <w:rFonts w:ascii="Arial" w:cs="Arial" w:eastAsia="Arial" w:hAnsi="Arial"/>
          <w:sz w:val="24"/>
          <w:szCs w:val="24"/>
        </w:rPr>
        <w:t xml:space="preserve">Published Dup15q expression studies (RNA-seq, qPCR data)</w:t>
      </w:r>
    </w:p>
    <w:p>
      <w:pPr>
        <w:pStyle w:val="ListParagraph"/>
        <w:numPr>
          <w:ilvl w:val="0"/>
          <w:numId w:val="2"/>
        </w:numPr>
        <w:spacing w:after="100" w:line="360" w:lineRule="auto"/>
      </w:pPr>
      <w:r>
        <w:rPr>
          <w:rFonts w:ascii="Arial" w:cs="Arial" w:eastAsia="Arial" w:hAnsi="Arial"/>
          <w:sz w:val="24"/>
          <w:szCs w:val="24"/>
        </w:rPr>
        <w:t xml:space="preserve">Copy number variation data for Dup15q patients</w:t>
      </w:r>
    </w:p>
    <w:p>
      <w:pPr>
        <w:pStyle w:val="ListParagraph"/>
        <w:numPr>
          <w:ilvl w:val="0"/>
          <w:numId w:val="2"/>
        </w:numPr>
        <w:spacing w:after="100" w:line="360" w:lineRule="auto"/>
      </w:pPr>
      <w:r>
        <w:rPr>
          <w:rFonts w:ascii="Arial" w:cs="Arial" w:eastAsia="Arial" w:hAnsi="Arial"/>
          <w:sz w:val="24"/>
          <w:szCs w:val="24"/>
        </w:rPr>
        <w:t xml:space="preserve">Normal baseline expression levels from control populations</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NCBI Gene: </w:t>
      </w:r>
      <w:r>
        <w:rPr>
          <w:rFonts w:ascii="Arial" w:cs="Arial" w:eastAsia="Arial" w:hAnsi="Arial"/>
          <w:sz w:val="24"/>
          <w:szCs w:val="24"/>
        </w:rPr>
        <w:t xml:space="preserve">Gene annotation and reference sequences for 15q11.2-q13.1 region</w:t>
      </w:r>
    </w:p>
    <w:p>
      <w:pPr>
        <w:pStyle w:val="ListParagraph"/>
        <w:numPr>
          <w:ilvl w:val="0"/>
          <w:numId w:val="2"/>
        </w:numPr>
        <w:spacing w:after="100" w:line="360" w:lineRule="auto"/>
      </w:pPr>
      <w:r>
        <w:rPr>
          <w:rFonts w:ascii="Arial" w:cs="Arial" w:eastAsia="Arial" w:hAnsi="Arial"/>
          <w:b/>
          <w:bCs/>
          <w:sz w:val="24"/>
          <w:szCs w:val="24"/>
        </w:rPr>
        <w:t xml:space="preserve">Ensembl: </w:t>
      </w:r>
      <w:r>
        <w:rPr>
          <w:rFonts w:ascii="Arial" w:cs="Arial" w:eastAsia="Arial" w:hAnsi="Arial"/>
          <w:sz w:val="24"/>
          <w:szCs w:val="24"/>
        </w:rPr>
        <w:t xml:space="preserve">Comprehensive gene models and transcript sequences</w:t>
      </w:r>
    </w:p>
    <w:p>
      <w:pPr>
        <w:pStyle w:val="ListParagraph"/>
        <w:numPr>
          <w:ilvl w:val="0"/>
          <w:numId w:val="2"/>
        </w:numPr>
        <w:spacing w:after="100" w:line="360" w:lineRule="auto"/>
      </w:pPr>
      <w:r>
        <w:rPr>
          <w:rFonts w:ascii="Arial" w:cs="Arial" w:eastAsia="Arial" w:hAnsi="Arial"/>
          <w:b/>
          <w:bCs/>
          <w:sz w:val="24"/>
          <w:szCs w:val="24"/>
        </w:rPr>
        <w:t xml:space="preserve">GENCODE: </w:t>
      </w:r>
      <w:r>
        <w:rPr>
          <w:rFonts w:ascii="Arial" w:cs="Arial" w:eastAsia="Arial" w:hAnsi="Arial"/>
          <w:sz w:val="24"/>
          <w:szCs w:val="24"/>
        </w:rPr>
        <w:t xml:space="preserve">Comprehensive annotated transcript catalog</w:t>
      </w:r>
    </w:p>
    <w:p>
      <w:pPr>
        <w:pStyle w:val="ListParagraph"/>
        <w:numPr>
          <w:ilvl w:val="0"/>
          <w:numId w:val="2"/>
        </w:numPr>
        <w:spacing w:after="100" w:line="360" w:lineRule="auto"/>
      </w:pPr>
      <w:r>
        <w:rPr>
          <w:rFonts w:ascii="Arial" w:cs="Arial" w:eastAsia="Arial" w:hAnsi="Arial"/>
          <w:b/>
          <w:bCs/>
          <w:sz w:val="24"/>
          <w:szCs w:val="24"/>
        </w:rPr>
        <w:t xml:space="preserve">DECIPHER: </w:t>
      </w:r>
      <w:r>
        <w:rPr>
          <w:rFonts w:ascii="Arial" w:cs="Arial" w:eastAsia="Arial" w:hAnsi="Arial"/>
          <w:sz w:val="24"/>
          <w:szCs w:val="24"/>
        </w:rPr>
        <w:t xml:space="preserve">CNV database with clinical phenotype correlations</w:t>
      </w:r>
    </w:p>
    <w:p>
      <w:pPr>
        <w:pStyle w:val="ListParagraph"/>
        <w:numPr>
          <w:ilvl w:val="0"/>
          <w:numId w:val="2"/>
        </w:numPr>
        <w:spacing w:after="100" w:line="360" w:lineRule="auto"/>
      </w:pPr>
      <w:r>
        <w:rPr>
          <w:rFonts w:ascii="Arial" w:cs="Arial" w:eastAsia="Arial" w:hAnsi="Arial"/>
          <w:b/>
          <w:bCs/>
          <w:sz w:val="24"/>
          <w:szCs w:val="24"/>
        </w:rPr>
        <w:t xml:space="preserve">PubMed: </w:t>
      </w:r>
      <w:r>
        <w:rPr>
          <w:rFonts w:ascii="Arial" w:cs="Arial" w:eastAsia="Arial" w:hAnsi="Arial"/>
          <w:sz w:val="24"/>
          <w:szCs w:val="24"/>
        </w:rPr>
        <w:t xml:space="preserve">Published Dup15q expression and characterization studies</w:t>
      </w:r>
    </w:p>
    <w:p>
      <w:pPr>
        <w:pStyle w:val="ListParagraph"/>
        <w:numPr>
          <w:ilvl w:val="0"/>
          <w:numId w:val="2"/>
        </w:numPr>
        <w:spacing w:after="100" w:line="360" w:lineRule="auto"/>
      </w:pPr>
      <w:r>
        <w:rPr>
          <w:rFonts w:ascii="Arial" w:cs="Arial" w:eastAsia="Arial" w:hAnsi="Arial"/>
          <w:b/>
          <w:bCs/>
          <w:sz w:val="24"/>
          <w:szCs w:val="24"/>
        </w:rPr>
        <w:t xml:space="preserve">GTEx: </w:t>
      </w:r>
      <w:r>
        <w:rPr>
          <w:rFonts w:ascii="Arial" w:cs="Arial" w:eastAsia="Arial" w:hAnsi="Arial"/>
          <w:sz w:val="24"/>
          <w:szCs w:val="24"/>
        </w:rPr>
        <w:t xml:space="preserve">Baseline expression levels in neuronal and brain tissues</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List all protein-coding genes in the 15q11.2-q13.1 region and their functions.</w:t>
      </w:r>
    </w:p>
    <w:p>
      <w:pPr>
        <w:pStyle w:val="ListParagraph"/>
        <w:numPr>
          <w:ilvl w:val="0"/>
          <w:numId w:val="2"/>
        </w:numPr>
        <w:spacing w:after="100" w:line="360" w:lineRule="auto"/>
      </w:pPr>
      <w:r>
        <w:rPr>
          <w:rFonts w:ascii="Arial" w:cs="Arial" w:eastAsia="Arial" w:hAnsi="Arial"/>
          <w:sz w:val="24"/>
          <w:szCs w:val="24"/>
        </w:rPr>
        <w:t xml:space="preserve">What is the fold-change in expression of UBE3A, GABRB3, GABRA5, and GABRG3 in Dup15q neurons compared to control?</w:t>
      </w:r>
    </w:p>
    <w:p>
      <w:pPr>
        <w:pStyle w:val="ListParagraph"/>
        <w:numPr>
          <w:ilvl w:val="0"/>
          <w:numId w:val="2"/>
        </w:numPr>
        <w:spacing w:after="100" w:line="360" w:lineRule="auto"/>
      </w:pPr>
      <w:r>
        <w:rPr>
          <w:rFonts w:ascii="Arial" w:cs="Arial" w:eastAsia="Arial" w:hAnsi="Arial"/>
          <w:sz w:val="24"/>
          <w:szCs w:val="24"/>
        </w:rPr>
        <w:t xml:space="preserve">How does copy number (1 vs 2 vs 3 vs 4 copies) correlate with gene expression levels?</w:t>
      </w:r>
    </w:p>
    <w:p>
      <w:pPr>
        <w:pStyle w:val="ListParagraph"/>
        <w:numPr>
          <w:ilvl w:val="0"/>
          <w:numId w:val="2"/>
        </w:numPr>
        <w:spacing w:after="100" w:line="360" w:lineRule="auto"/>
      </w:pPr>
      <w:r>
        <w:rPr>
          <w:rFonts w:ascii="Arial" w:cs="Arial" w:eastAsia="Arial" w:hAnsi="Arial"/>
          <w:sz w:val="24"/>
          <w:szCs w:val="24"/>
        </w:rPr>
        <w:t xml:space="preserve">Which genes in the critical region show the most significant overexpression in Dup15q?</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Annotated list of all genes in 15q11.2-q13.1 with genomic coordinates, transcript IDs, and protein products</w:t>
      </w:r>
    </w:p>
    <w:p>
      <w:pPr>
        <w:pStyle w:val="ListParagraph"/>
        <w:numPr>
          <w:ilvl w:val="0"/>
          <w:numId w:val="2"/>
        </w:numPr>
        <w:spacing w:after="100" w:line="360" w:lineRule="auto"/>
      </w:pPr>
      <w:r>
        <w:rPr>
          <w:rFonts w:ascii="Arial" w:cs="Arial" w:eastAsia="Arial" w:hAnsi="Arial"/>
          <w:sz w:val="24"/>
          <w:szCs w:val="24"/>
        </w:rPr>
        <w:t xml:space="preserve">Copy number dosage curves showing expression vs. copy number for key Dup15q genes</w:t>
      </w:r>
    </w:p>
    <w:p>
      <w:pPr>
        <w:pStyle w:val="ListParagraph"/>
        <w:numPr>
          <w:ilvl w:val="0"/>
          <w:numId w:val="2"/>
        </w:numPr>
        <w:spacing w:after="100" w:line="360" w:lineRule="auto"/>
      </w:pPr>
      <w:r>
        <w:rPr>
          <w:rFonts w:ascii="Arial" w:cs="Arial" w:eastAsia="Arial" w:hAnsi="Arial"/>
          <w:sz w:val="24"/>
          <w:szCs w:val="24"/>
        </w:rPr>
        <w:t xml:space="preserve">Fold-change matrix comparing Dup15q to diploid control expression levels</w:t>
      </w:r>
    </w:p>
    <w:p>
      <w:pPr>
        <w:pStyle w:val="ListParagraph"/>
        <w:numPr>
          <w:ilvl w:val="0"/>
          <w:numId w:val="2"/>
        </w:numPr>
        <w:spacing w:after="100" w:line="360" w:lineRule="auto"/>
      </w:pPr>
      <w:r>
        <w:rPr>
          <w:rFonts w:ascii="Arial" w:cs="Arial" w:eastAsia="Arial" w:hAnsi="Arial"/>
          <w:sz w:val="24"/>
          <w:szCs w:val="24"/>
        </w:rPr>
        <w:t xml:space="preserve">Summary of known protein functions relevant to neuronal excitability</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Annotated spreadsheet or table with columns for gene symbol, NCBI ID, Ensembl ID, coordinate range, overexpression fold-change, and baseline GTEx expression levels.</w:t>
      </w:r>
    </w:p>
    <w:p>
      <w:pPr>
        <w:pStyle w:val="Heading2"/>
        <w:spacing w:before="200" w:after="200" w:line="360" w:lineRule="auto"/>
      </w:pPr>
      <w:r>
        <w:t xml:space="preserve">Stage 2: Hyperexcitability EP Phenotype Characterization</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Query Quiver EP atlas for perturbations of Dup15q region genes, characterize the hyperexcitability phenotype signature, and identify which gene perturbations normalize the phenotype.</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Dup15q gene list from Stage 1 (primary targets: UBE3A, GABRB3, GABRA5, GABRG3)</w:t>
      </w:r>
    </w:p>
    <w:p>
      <w:pPr>
        <w:pStyle w:val="ListParagraph"/>
        <w:numPr>
          <w:ilvl w:val="0"/>
          <w:numId w:val="2"/>
        </w:numPr>
        <w:spacing w:after="100" w:line="360" w:lineRule="auto"/>
      </w:pPr>
      <w:r>
        <w:rPr>
          <w:rFonts w:ascii="Arial" w:cs="Arial" w:eastAsia="Arial" w:hAnsi="Arial"/>
          <w:sz w:val="24"/>
          <w:szCs w:val="24"/>
        </w:rPr>
        <w:t xml:space="preserve">Quiver CRISPR perturbation data (knockdown, knockout effects on EP phenotype)</w:t>
      </w:r>
    </w:p>
    <w:p>
      <w:pPr>
        <w:pStyle w:val="ListParagraph"/>
        <w:numPr>
          <w:ilvl w:val="0"/>
          <w:numId w:val="2"/>
        </w:numPr>
        <w:spacing w:after="100" w:line="360" w:lineRule="auto"/>
      </w:pPr>
      <w:r>
        <w:rPr>
          <w:rFonts w:ascii="Arial" w:cs="Arial" w:eastAsia="Arial" w:hAnsi="Arial"/>
          <w:sz w:val="24"/>
          <w:szCs w:val="24"/>
        </w:rPr>
        <w:t xml:space="preserve">Published Dup15q iPSC-neuron electrophysiology studies with phenotypic metrics</w:t>
      </w:r>
    </w:p>
    <w:p>
      <w:pPr>
        <w:pStyle w:val="ListParagraph"/>
        <w:numPr>
          <w:ilvl w:val="0"/>
          <w:numId w:val="2"/>
        </w:numPr>
        <w:spacing w:after="100" w:line="360" w:lineRule="auto"/>
      </w:pPr>
      <w:r>
        <w:rPr>
          <w:rFonts w:ascii="Arial" w:cs="Arial" w:eastAsia="Arial" w:hAnsi="Arial"/>
          <w:sz w:val="24"/>
          <w:szCs w:val="24"/>
        </w:rPr>
        <w:t xml:space="preserve">Normal/control electrophysiology baseline data</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Quiver CRISPR EP Atlas: </w:t>
      </w:r>
      <w:r>
        <w:rPr>
          <w:rFonts w:ascii="Arial" w:cs="Arial" w:eastAsia="Arial" w:hAnsi="Arial"/>
          <w:sz w:val="24"/>
          <w:szCs w:val="24"/>
        </w:rPr>
        <w:t xml:space="preserve">Comprehensive electrophysiological phenotypes for gene perturbations</w:t>
      </w:r>
    </w:p>
    <w:p>
      <w:pPr>
        <w:pStyle w:val="ListParagraph"/>
        <w:numPr>
          <w:ilvl w:val="0"/>
          <w:numId w:val="2"/>
        </w:numPr>
        <w:spacing w:after="100" w:line="360" w:lineRule="auto"/>
      </w:pPr>
      <w:r>
        <w:rPr>
          <w:rFonts w:ascii="Arial" w:cs="Arial" w:eastAsia="Arial" w:hAnsi="Arial"/>
          <w:b/>
          <w:bCs/>
          <w:sz w:val="24"/>
          <w:szCs w:val="24"/>
        </w:rPr>
        <w:t xml:space="preserve">Quiver EP Phenotype Analysis: </w:t>
      </w:r>
      <w:r>
        <w:rPr>
          <w:rFonts w:ascii="Arial" w:cs="Arial" w:eastAsia="Arial" w:hAnsi="Arial"/>
          <w:sz w:val="24"/>
          <w:szCs w:val="24"/>
        </w:rPr>
        <w:t xml:space="preserve">Tools to analyze firing rate, burst frequency, network synchrony metrics</w:t>
      </w:r>
    </w:p>
    <w:p>
      <w:pPr>
        <w:pStyle w:val="ListParagraph"/>
        <w:numPr>
          <w:ilvl w:val="0"/>
          <w:numId w:val="2"/>
        </w:numPr>
        <w:spacing w:after="100" w:line="360" w:lineRule="auto"/>
      </w:pPr>
      <w:r>
        <w:rPr>
          <w:rFonts w:ascii="Arial" w:cs="Arial" w:eastAsia="Arial" w:hAnsi="Arial"/>
          <w:b/>
          <w:bCs/>
          <w:sz w:val="24"/>
          <w:szCs w:val="24"/>
        </w:rPr>
        <w:t xml:space="preserve">PubMed: </w:t>
      </w:r>
      <w:r>
        <w:rPr>
          <w:rFonts w:ascii="Arial" w:cs="Arial" w:eastAsia="Arial" w:hAnsi="Arial"/>
          <w:sz w:val="24"/>
          <w:szCs w:val="24"/>
        </w:rPr>
        <w:t xml:space="preserve">Published Dup15q iPSC-neuron electrophysiology and seizure phenotype studies</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What are the electrophysiological signatures of Dup15q neurons (firing rate, burst frequency, synchrony)?</w:t>
      </w:r>
    </w:p>
    <w:p>
      <w:pPr>
        <w:pStyle w:val="ListParagraph"/>
        <w:numPr>
          <w:ilvl w:val="0"/>
          <w:numId w:val="2"/>
        </w:numPr>
        <w:spacing w:after="100" w:line="360" w:lineRule="auto"/>
      </w:pPr>
      <w:r>
        <w:rPr>
          <w:rFonts w:ascii="Arial" w:cs="Arial" w:eastAsia="Arial" w:hAnsi="Arial"/>
          <w:sz w:val="24"/>
          <w:szCs w:val="24"/>
        </w:rPr>
        <w:t xml:space="preserve">Query Quiver: What is the EP phenotype change when UBE3A, GABRB3, GABRA5, or GABRG3 are knocked down?</w:t>
      </w:r>
    </w:p>
    <w:p>
      <w:pPr>
        <w:pStyle w:val="ListParagraph"/>
        <w:numPr>
          <w:ilvl w:val="0"/>
          <w:numId w:val="2"/>
        </w:numPr>
        <w:spacing w:after="100" w:line="360" w:lineRule="auto"/>
      </w:pPr>
      <w:r>
        <w:rPr>
          <w:rFonts w:ascii="Arial" w:cs="Arial" w:eastAsia="Arial" w:hAnsi="Arial"/>
          <w:sz w:val="24"/>
          <w:szCs w:val="24"/>
        </w:rPr>
        <w:t xml:space="preserve">Which single gene knockdown(s) most robustly normalize Dup15q hyperexcitability?</w:t>
      </w:r>
    </w:p>
    <w:p>
      <w:pPr>
        <w:pStyle w:val="ListParagraph"/>
        <w:numPr>
          <w:ilvl w:val="0"/>
          <w:numId w:val="2"/>
        </w:numPr>
        <w:spacing w:after="100" w:line="360" w:lineRule="auto"/>
      </w:pPr>
      <w:r>
        <w:rPr>
          <w:rFonts w:ascii="Arial" w:cs="Arial" w:eastAsia="Arial" w:hAnsi="Arial"/>
          <w:sz w:val="24"/>
          <w:szCs w:val="24"/>
        </w:rPr>
        <w:t xml:space="preserve">Are there synergistic or compensatory effects when multiple Dup15q genes are knocked down together?</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EP phenotype profile for Dup15q (baseline hyperexcitability metrics vs. control)</w:t>
      </w:r>
    </w:p>
    <w:p>
      <w:pPr>
        <w:pStyle w:val="ListParagraph"/>
        <w:numPr>
          <w:ilvl w:val="0"/>
          <w:numId w:val="2"/>
        </w:numPr>
        <w:spacing w:after="100" w:line="360" w:lineRule="auto"/>
      </w:pPr>
      <w:r>
        <w:rPr>
          <w:rFonts w:ascii="Arial" w:cs="Arial" w:eastAsia="Arial" w:hAnsi="Arial"/>
          <w:sz w:val="24"/>
          <w:szCs w:val="24"/>
        </w:rPr>
        <w:t xml:space="preserve">Matrix of EP phenotype changes for each gene knockdown/knockout</w:t>
      </w:r>
    </w:p>
    <w:p>
      <w:pPr>
        <w:pStyle w:val="ListParagraph"/>
        <w:numPr>
          <w:ilvl w:val="0"/>
          <w:numId w:val="2"/>
        </w:numPr>
        <w:spacing w:after="100" w:line="360" w:lineRule="auto"/>
      </w:pPr>
      <w:r>
        <w:rPr>
          <w:rFonts w:ascii="Arial" w:cs="Arial" w:eastAsia="Arial" w:hAnsi="Arial"/>
          <w:sz w:val="24"/>
          <w:szCs w:val="24"/>
        </w:rPr>
        <w:t xml:space="preserve">Ranking of genes by efficacy in normalizing hyperexcitability phenotype</w:t>
      </w:r>
    </w:p>
    <w:p>
      <w:pPr>
        <w:pStyle w:val="ListParagraph"/>
        <w:numPr>
          <w:ilvl w:val="0"/>
          <w:numId w:val="2"/>
        </w:numPr>
        <w:spacing w:after="100" w:line="360" w:lineRule="auto"/>
      </w:pPr>
      <w:r>
        <w:rPr>
          <w:rFonts w:ascii="Arial" w:cs="Arial" w:eastAsia="Arial" w:hAnsi="Arial"/>
          <w:sz w:val="24"/>
          <w:szCs w:val="24"/>
        </w:rPr>
        <w:t xml:space="preserve">Quiver query results with confidence metrics for each perturbation</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Table with columns for gene, knockdown effect on firing rate, burst frequency, synchrony, and overall normalization score. Include error bars or confidence intervals from Quiver.</w:t>
      </w:r>
    </w:p>
    <w:p>
      <w:pPr>
        <w:pStyle w:val="Heading2"/>
        <w:spacing w:before="200" w:after="200" w:line="360" w:lineRule="auto"/>
      </w:pPr>
      <w:r>
        <w:t xml:space="preserve">Stage 3: ASO Target Prioritization</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Prioritize antisense targets based on: (1) genes whose knockdown normalizes EP hyperexcitability, (2) genes overexpressed due to duplication, (3) genes with favorable ASO-targetable transcript features. Consider both direct targets (duplicated genes) and indirect/compensatory targets.</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EP phenotype rescue rankings from Stage 2</w:t>
      </w:r>
    </w:p>
    <w:p>
      <w:pPr>
        <w:pStyle w:val="ListParagraph"/>
        <w:numPr>
          <w:ilvl w:val="0"/>
          <w:numId w:val="2"/>
        </w:numPr>
        <w:spacing w:after="100" w:line="360" w:lineRule="auto"/>
      </w:pPr>
      <w:r>
        <w:rPr>
          <w:rFonts w:ascii="Arial" w:cs="Arial" w:eastAsia="Arial" w:hAnsi="Arial"/>
          <w:sz w:val="24"/>
          <w:szCs w:val="24"/>
        </w:rPr>
        <w:t xml:space="preserve">Overexpression fold-change data from Stage 1</w:t>
      </w:r>
    </w:p>
    <w:p>
      <w:pPr>
        <w:pStyle w:val="ListParagraph"/>
        <w:numPr>
          <w:ilvl w:val="0"/>
          <w:numId w:val="2"/>
        </w:numPr>
        <w:spacing w:after="100" w:line="360" w:lineRule="auto"/>
      </w:pPr>
      <w:r>
        <w:rPr>
          <w:rFonts w:ascii="Arial" w:cs="Arial" w:eastAsia="Arial" w:hAnsi="Arial"/>
          <w:sz w:val="24"/>
          <w:szCs w:val="24"/>
        </w:rPr>
        <w:t xml:space="preserve">Published ASO targetability assessments and transcript accessibility data</w:t>
      </w:r>
    </w:p>
    <w:p>
      <w:pPr>
        <w:pStyle w:val="ListParagraph"/>
        <w:numPr>
          <w:ilvl w:val="0"/>
          <w:numId w:val="2"/>
        </w:numPr>
        <w:spacing w:after="100" w:line="360" w:lineRule="auto"/>
      </w:pPr>
      <w:r>
        <w:rPr>
          <w:rFonts w:ascii="Arial" w:cs="Arial" w:eastAsia="Arial" w:hAnsi="Arial"/>
          <w:sz w:val="24"/>
          <w:szCs w:val="24"/>
        </w:rPr>
        <w:t xml:space="preserve">Transcript sequences and secondary structure predictions</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Quiver EP Rescue Ranking: </w:t>
      </w:r>
      <w:r>
        <w:rPr>
          <w:rFonts w:ascii="Arial" w:cs="Arial" w:eastAsia="Arial" w:hAnsi="Arial"/>
          <w:sz w:val="24"/>
          <w:szCs w:val="24"/>
        </w:rPr>
        <w:t xml:space="preserve">Integrated scoring of gene knockdown efficacy</w:t>
      </w:r>
    </w:p>
    <w:p>
      <w:pPr>
        <w:pStyle w:val="ListParagraph"/>
        <w:numPr>
          <w:ilvl w:val="0"/>
          <w:numId w:val="2"/>
        </w:numPr>
        <w:spacing w:after="100" w:line="360" w:lineRule="auto"/>
      </w:pPr>
      <w:r>
        <w:rPr>
          <w:rFonts w:ascii="Arial" w:cs="Arial" w:eastAsia="Arial" w:hAnsi="Arial"/>
          <w:b/>
          <w:bCs/>
          <w:sz w:val="24"/>
          <w:szCs w:val="24"/>
        </w:rPr>
        <w:t xml:space="preserve">Sapphire Target Prioritization Engine: </w:t>
      </w:r>
      <w:r>
        <w:rPr>
          <w:rFonts w:ascii="Arial" w:cs="Arial" w:eastAsia="Arial" w:hAnsi="Arial"/>
          <w:sz w:val="24"/>
          <w:szCs w:val="24"/>
        </w:rPr>
        <w:t xml:space="preserve">Multi-criteria ASO target ranking incorporating rescue efficacy, overexpression, and targetability</w:t>
      </w:r>
    </w:p>
    <w:p>
      <w:pPr>
        <w:pStyle w:val="ListParagraph"/>
        <w:numPr>
          <w:ilvl w:val="0"/>
          <w:numId w:val="2"/>
        </w:numPr>
        <w:spacing w:after="100" w:line="360" w:lineRule="auto"/>
      </w:pPr>
      <w:r>
        <w:rPr>
          <w:rFonts w:ascii="Arial" w:cs="Arial" w:eastAsia="Arial" w:hAnsi="Arial"/>
          <w:b/>
          <w:bCs/>
          <w:sz w:val="24"/>
          <w:szCs w:val="24"/>
        </w:rPr>
        <w:t xml:space="preserve">RNAfold: </w:t>
      </w:r>
      <w:r>
        <w:rPr>
          <w:rFonts w:ascii="Arial" w:cs="Arial" w:eastAsia="Arial" w:hAnsi="Arial"/>
          <w:sz w:val="24"/>
          <w:szCs w:val="24"/>
        </w:rPr>
        <w:t xml:space="preserve">Predict secondary structure and identify accessible regions for ASO binding</w:t>
      </w:r>
    </w:p>
    <w:p>
      <w:pPr>
        <w:pStyle w:val="ListParagraph"/>
        <w:numPr>
          <w:ilvl w:val="0"/>
          <w:numId w:val="2"/>
        </w:numPr>
        <w:spacing w:after="100" w:line="360" w:lineRule="auto"/>
      </w:pPr>
      <w:r>
        <w:rPr>
          <w:rFonts w:ascii="Arial" w:cs="Arial" w:eastAsia="Arial" w:hAnsi="Arial"/>
          <w:b/>
          <w:bCs/>
          <w:sz w:val="24"/>
          <w:szCs w:val="24"/>
        </w:rPr>
        <w:t xml:space="preserve">PubMed: </w:t>
      </w:r>
      <w:r>
        <w:rPr>
          <w:rFonts w:ascii="Arial" w:cs="Arial" w:eastAsia="Arial" w:hAnsi="Arial"/>
          <w:sz w:val="24"/>
          <w:szCs w:val="24"/>
        </w:rPr>
        <w:t xml:space="preserve">Published Dup15q therapeutic literature and ASO targeting studies</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Rank genes by combined score of EP rescue efficacy and overexpression fold-change.</w:t>
      </w:r>
    </w:p>
    <w:p>
      <w:pPr>
        <w:pStyle w:val="ListParagraph"/>
        <w:numPr>
          <w:ilvl w:val="0"/>
          <w:numId w:val="2"/>
        </w:numPr>
        <w:spacing w:after="100" w:line="360" w:lineRule="auto"/>
      </w:pPr>
      <w:r>
        <w:rPr>
          <w:rFonts w:ascii="Arial" w:cs="Arial" w:eastAsia="Arial" w:hAnsi="Arial"/>
          <w:sz w:val="24"/>
          <w:szCs w:val="24"/>
        </w:rPr>
        <w:t xml:space="preserve">For each top-ranked gene, predict transcript secondary structure to identify ASO-accessible binding sites.</w:t>
      </w:r>
    </w:p>
    <w:p>
      <w:pPr>
        <w:pStyle w:val="ListParagraph"/>
        <w:numPr>
          <w:ilvl w:val="0"/>
          <w:numId w:val="2"/>
        </w:numPr>
        <w:spacing w:after="100" w:line="360" w:lineRule="auto"/>
      </w:pPr>
      <w:r>
        <w:rPr>
          <w:rFonts w:ascii="Arial" w:cs="Arial" w:eastAsia="Arial" w:hAnsi="Arial"/>
          <w:sz w:val="24"/>
          <w:szCs w:val="24"/>
        </w:rPr>
        <w:t xml:space="preserve">Are there any Dup15q therapeutic ASO programs already published or in development?</w:t>
      </w:r>
    </w:p>
    <w:p>
      <w:pPr>
        <w:pStyle w:val="ListParagraph"/>
        <w:numPr>
          <w:ilvl w:val="0"/>
          <w:numId w:val="2"/>
        </w:numPr>
        <w:spacing w:after="100" w:line="360" w:lineRule="auto"/>
      </w:pPr>
      <w:r>
        <w:rPr>
          <w:rFonts w:ascii="Arial" w:cs="Arial" w:eastAsia="Arial" w:hAnsi="Arial"/>
          <w:sz w:val="24"/>
          <w:szCs w:val="24"/>
        </w:rPr>
        <w:t xml:space="preserve">Identify indirect/compensatory targets (pathways that modulate hyperexcitability independent of Dup15q overexpression).</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Prioritized list of 5-10 candidate genes ranked by composite Sapphire score</w:t>
      </w:r>
    </w:p>
    <w:p>
      <w:pPr>
        <w:pStyle w:val="ListParagraph"/>
        <w:numPr>
          <w:ilvl w:val="0"/>
          <w:numId w:val="2"/>
        </w:numPr>
        <w:spacing w:after="100" w:line="360" w:lineRule="auto"/>
      </w:pPr>
      <w:r>
        <w:rPr>
          <w:rFonts w:ascii="Arial" w:cs="Arial" w:eastAsia="Arial" w:hAnsi="Arial"/>
          <w:sz w:val="24"/>
          <w:szCs w:val="24"/>
        </w:rPr>
        <w:t xml:space="preserve">Transcript secondary structure models with annotated accessible binding regions for top targets</w:t>
      </w:r>
    </w:p>
    <w:p>
      <w:pPr>
        <w:pStyle w:val="ListParagraph"/>
        <w:numPr>
          <w:ilvl w:val="0"/>
          <w:numId w:val="2"/>
        </w:numPr>
        <w:spacing w:after="100" w:line="360" w:lineRule="auto"/>
      </w:pPr>
      <w:r>
        <w:rPr>
          <w:rFonts w:ascii="Arial" w:cs="Arial" w:eastAsia="Arial" w:hAnsi="Arial"/>
          <w:sz w:val="24"/>
          <w:szCs w:val="24"/>
        </w:rPr>
        <w:t xml:space="preserve">Decision matrix showing rescue efficacy, overexpression, and targetability scores</w:t>
      </w:r>
    </w:p>
    <w:p>
      <w:pPr>
        <w:pStyle w:val="ListParagraph"/>
        <w:numPr>
          <w:ilvl w:val="0"/>
          <w:numId w:val="2"/>
        </w:numPr>
        <w:spacing w:after="100" w:line="360" w:lineRule="auto"/>
      </w:pPr>
      <w:r>
        <w:rPr>
          <w:rFonts w:ascii="Arial" w:cs="Arial" w:eastAsia="Arial" w:hAnsi="Arial"/>
          <w:sz w:val="24"/>
          <w:szCs w:val="24"/>
        </w:rPr>
        <w:t xml:space="preserve">Literature summary of known Dup15q therapeutic approaches and ASO programs</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Ranked table with columns for gene symbol, rescue score, overexpression fold-change, ASO accessibility (% accessible sites), composite Sapphire score, and brief target rationale.</w:t>
      </w:r>
    </w:p>
    <w:p>
      <w:pPr>
        <w:pStyle w:val="Heading2"/>
        <w:spacing w:before="200" w:after="200" w:line="360" w:lineRule="auto"/>
      </w:pPr>
      <w:r>
        <w:t xml:space="preserve">Stage 4: ASO Sequence Design &amp; Optimization</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For top prioritized targets, design optimized ASO sequences. Consider partial knockdown requirements (normalize overexpression back to diploid levels, not complete silencing). Ensure favorable biophysical properties and stability.</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Top 5-10 prioritized genes from Stage 3</w:t>
      </w:r>
    </w:p>
    <w:p>
      <w:pPr>
        <w:pStyle w:val="ListParagraph"/>
        <w:numPr>
          <w:ilvl w:val="0"/>
          <w:numId w:val="2"/>
        </w:numPr>
        <w:spacing w:after="100" w:line="360" w:lineRule="auto"/>
      </w:pPr>
      <w:r>
        <w:rPr>
          <w:rFonts w:ascii="Arial" w:cs="Arial" w:eastAsia="Arial" w:hAnsi="Arial"/>
          <w:sz w:val="24"/>
          <w:szCs w:val="24"/>
        </w:rPr>
        <w:t xml:space="preserve">Transcript sequences (FASTA format) and accessible binding regions from RNAfold analysis</w:t>
      </w:r>
    </w:p>
    <w:p>
      <w:pPr>
        <w:pStyle w:val="ListParagraph"/>
        <w:numPr>
          <w:ilvl w:val="0"/>
          <w:numId w:val="2"/>
        </w:numPr>
        <w:spacing w:after="100" w:line="360" w:lineRule="auto"/>
      </w:pPr>
      <w:r>
        <w:rPr>
          <w:rFonts w:ascii="Arial" w:cs="Arial" w:eastAsia="Arial" w:hAnsi="Arial"/>
          <w:sz w:val="24"/>
          <w:szCs w:val="24"/>
        </w:rPr>
        <w:t xml:space="preserve">Target knockdown requirements (e.g., reduce expression to 50-80% of current Dup15q level)</w:t>
      </w:r>
    </w:p>
    <w:p>
      <w:pPr>
        <w:pStyle w:val="ListParagraph"/>
        <w:numPr>
          <w:ilvl w:val="0"/>
          <w:numId w:val="2"/>
        </w:numPr>
        <w:spacing w:after="100" w:line="360" w:lineRule="auto"/>
      </w:pPr>
      <w:r>
        <w:rPr>
          <w:rFonts w:ascii="Arial" w:cs="Arial" w:eastAsia="Arial" w:hAnsi="Arial"/>
          <w:sz w:val="24"/>
          <w:szCs w:val="24"/>
        </w:rPr>
        <w:t xml:space="preserve">ASO design parameters and chemical modification preferences</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Quiver ASO Design Module: </w:t>
      </w:r>
      <w:r>
        <w:rPr>
          <w:rFonts w:ascii="Arial" w:cs="Arial" w:eastAsia="Arial" w:hAnsi="Arial"/>
          <w:sz w:val="24"/>
          <w:szCs w:val="24"/>
        </w:rPr>
        <w:t xml:space="preserve">Automated ASO sequence generation and optimization</w:t>
      </w:r>
    </w:p>
    <w:p>
      <w:pPr>
        <w:pStyle w:val="ListParagraph"/>
        <w:numPr>
          <w:ilvl w:val="0"/>
          <w:numId w:val="2"/>
        </w:numPr>
        <w:spacing w:after="100" w:line="360" w:lineRule="auto"/>
      </w:pPr>
      <w:r>
        <w:rPr>
          <w:rFonts w:ascii="Arial" w:cs="Arial" w:eastAsia="Arial" w:hAnsi="Arial"/>
          <w:b/>
          <w:bCs/>
          <w:sz w:val="24"/>
          <w:szCs w:val="24"/>
        </w:rPr>
        <w:t xml:space="preserve">Ensembl Transcript Sequences: </w:t>
      </w:r>
      <w:r>
        <w:rPr>
          <w:rFonts w:ascii="Arial" w:cs="Arial" w:eastAsia="Arial" w:hAnsi="Arial"/>
          <w:sz w:val="24"/>
          <w:szCs w:val="24"/>
        </w:rPr>
        <w:t xml:space="preserve">Reference sequences for all target transcripts</w:t>
      </w:r>
    </w:p>
    <w:p>
      <w:pPr>
        <w:pStyle w:val="ListParagraph"/>
        <w:numPr>
          <w:ilvl w:val="0"/>
          <w:numId w:val="2"/>
        </w:numPr>
        <w:spacing w:after="100" w:line="360" w:lineRule="auto"/>
      </w:pPr>
      <w:r>
        <w:rPr>
          <w:rFonts w:ascii="Arial" w:cs="Arial" w:eastAsia="Arial" w:hAnsi="Arial"/>
          <w:b/>
          <w:bCs/>
          <w:sz w:val="24"/>
          <w:szCs w:val="24"/>
        </w:rPr>
        <w:t xml:space="preserve">RNAfold: </w:t>
      </w:r>
      <w:r>
        <w:rPr>
          <w:rFonts w:ascii="Arial" w:cs="Arial" w:eastAsia="Arial" w:hAnsi="Arial"/>
          <w:sz w:val="24"/>
          <w:szCs w:val="24"/>
        </w:rPr>
        <w:t xml:space="preserve">Refine secondary structure predictions for ASO targeting</w:t>
      </w:r>
    </w:p>
    <w:p>
      <w:pPr>
        <w:pStyle w:val="ListParagraph"/>
        <w:numPr>
          <w:ilvl w:val="0"/>
          <w:numId w:val="2"/>
        </w:numPr>
        <w:spacing w:after="100" w:line="360" w:lineRule="auto"/>
      </w:pPr>
      <w:r>
        <w:rPr>
          <w:rFonts w:ascii="Arial" w:cs="Arial" w:eastAsia="Arial" w:hAnsi="Arial"/>
          <w:b/>
          <w:bCs/>
          <w:sz w:val="24"/>
          <w:szCs w:val="24"/>
        </w:rPr>
        <w:t xml:space="preserve">OligoCalc: </w:t>
      </w:r>
      <w:r>
        <w:rPr>
          <w:rFonts w:ascii="Arial" w:cs="Arial" w:eastAsia="Arial" w:hAnsi="Arial"/>
          <w:sz w:val="24"/>
          <w:szCs w:val="24"/>
        </w:rPr>
        <w:t xml:space="preserve">Calculate oligonucleotide physical properties (Tm, GC content)</w:t>
      </w:r>
    </w:p>
    <w:p>
      <w:pPr>
        <w:pStyle w:val="ListParagraph"/>
        <w:numPr>
          <w:ilvl w:val="0"/>
          <w:numId w:val="2"/>
        </w:numPr>
        <w:spacing w:after="100" w:line="360" w:lineRule="auto"/>
      </w:pPr>
      <w:r>
        <w:rPr>
          <w:rFonts w:ascii="Arial" w:cs="Arial" w:eastAsia="Arial" w:hAnsi="Arial"/>
          <w:b/>
          <w:bCs/>
          <w:sz w:val="24"/>
          <w:szCs w:val="24"/>
        </w:rPr>
        <w:t xml:space="preserve">Mfold/UNAfold: </w:t>
      </w:r>
      <w:r>
        <w:rPr>
          <w:rFonts w:ascii="Arial" w:cs="Arial" w:eastAsia="Arial" w:hAnsi="Arial"/>
          <w:sz w:val="24"/>
          <w:szCs w:val="24"/>
        </w:rPr>
        <w:t xml:space="preserve">Advanced thermodynamic analysis of ASO-target RNA folding</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Design ASO sequences targeting the most accessible regions in [gene] transcript.</w:t>
      </w:r>
    </w:p>
    <w:p>
      <w:pPr>
        <w:pStyle w:val="ListParagraph"/>
        <w:numPr>
          <w:ilvl w:val="0"/>
          <w:numId w:val="2"/>
        </w:numPr>
        <w:spacing w:after="100" w:line="360" w:lineRule="auto"/>
      </w:pPr>
      <w:r>
        <w:rPr>
          <w:rFonts w:ascii="Arial" w:cs="Arial" w:eastAsia="Arial" w:hAnsi="Arial"/>
          <w:sz w:val="24"/>
          <w:szCs w:val="24"/>
        </w:rPr>
        <w:t xml:space="preserve">Calculate Tm, GC content, and predicted off-target binding for each ASO candidate.</w:t>
      </w:r>
    </w:p>
    <w:p>
      <w:pPr>
        <w:pStyle w:val="ListParagraph"/>
        <w:numPr>
          <w:ilvl w:val="0"/>
          <w:numId w:val="2"/>
        </w:numPr>
        <w:spacing w:after="100" w:line="360" w:lineRule="auto"/>
      </w:pPr>
      <w:r>
        <w:rPr>
          <w:rFonts w:ascii="Arial" w:cs="Arial" w:eastAsia="Arial" w:hAnsi="Arial"/>
          <w:sz w:val="24"/>
          <w:szCs w:val="24"/>
        </w:rPr>
        <w:t xml:space="preserve">Model thermodynamics of ASO-target RNA duplex formation and estimate knockdown efficiency.</w:t>
      </w:r>
    </w:p>
    <w:p>
      <w:pPr>
        <w:pStyle w:val="ListParagraph"/>
        <w:numPr>
          <w:ilvl w:val="0"/>
          <w:numId w:val="2"/>
        </w:numPr>
        <w:spacing w:after="100" w:line="360" w:lineRule="auto"/>
      </w:pPr>
      <w:r>
        <w:rPr>
          <w:rFonts w:ascii="Arial" w:cs="Arial" w:eastAsia="Arial" w:hAnsi="Arial"/>
          <w:sz w:val="24"/>
          <w:szCs w:val="24"/>
        </w:rPr>
        <w:t xml:space="preserve">Identify chemically modified ASO variants (e.g., 2'MOE, phosphorothioate) with optimal stability.</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FASTA file with designed ASO sequences for each target (3-5 candidates per gene)</w:t>
      </w:r>
    </w:p>
    <w:p>
      <w:pPr>
        <w:pStyle w:val="ListParagraph"/>
        <w:numPr>
          <w:ilvl w:val="0"/>
          <w:numId w:val="2"/>
        </w:numPr>
        <w:spacing w:after="100" w:line="360" w:lineRule="auto"/>
      </w:pPr>
      <w:r>
        <w:rPr>
          <w:rFonts w:ascii="Arial" w:cs="Arial" w:eastAsia="Arial" w:hAnsi="Arial"/>
          <w:sz w:val="24"/>
          <w:szCs w:val="24"/>
        </w:rPr>
        <w:t xml:space="preserve">Biophysical properties table (Tm, GC%, predicted Tm in duplex)</w:t>
      </w:r>
    </w:p>
    <w:p>
      <w:pPr>
        <w:pStyle w:val="ListParagraph"/>
        <w:numPr>
          <w:ilvl w:val="0"/>
          <w:numId w:val="2"/>
        </w:numPr>
        <w:spacing w:after="100" w:line="360" w:lineRule="auto"/>
      </w:pPr>
      <w:r>
        <w:rPr>
          <w:rFonts w:ascii="Arial" w:cs="Arial" w:eastAsia="Arial" w:hAnsi="Arial"/>
          <w:sz w:val="24"/>
          <w:szCs w:val="24"/>
        </w:rPr>
        <w:t xml:space="preserve">Thermodynamic binding energy estimates (ΔG) for ASO-target interaction</w:t>
      </w:r>
    </w:p>
    <w:p>
      <w:pPr>
        <w:pStyle w:val="ListParagraph"/>
        <w:numPr>
          <w:ilvl w:val="0"/>
          <w:numId w:val="2"/>
        </w:numPr>
        <w:spacing w:after="100" w:line="360" w:lineRule="auto"/>
      </w:pPr>
      <w:r>
        <w:rPr>
          <w:rFonts w:ascii="Arial" w:cs="Arial" w:eastAsia="Arial" w:hAnsi="Arial"/>
          <w:sz w:val="24"/>
          <w:szCs w:val="24"/>
        </w:rPr>
        <w:t xml:space="preserve">Chemical modification recommendations with stability predictions</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Multi-sheet spreadsheet with columns for gene, target region, ASO sequence (5'-3'), position on transcript, Tm, GC%, predicted binding ΔG, chemical modifications, and stability estimate.</w:t>
      </w:r>
    </w:p>
    <w:p>
      <w:pPr>
        <w:pStyle w:val="Heading2"/>
        <w:spacing w:before="200" w:after="200" w:line="360" w:lineRule="auto"/>
      </w:pPr>
      <w:r>
        <w:t xml:space="preserve">Stage 5: Safety &amp; Specificity Assessment</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Evaluate off-target risk, assess whether reducing expression of duplicated genes below normal diploid levels could be harmful (especially for GABA receptor subunits essential for inhibition), and confirm safety profile.</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Designed ASO sequences from Stage 4</w:t>
      </w:r>
    </w:p>
    <w:p>
      <w:pPr>
        <w:pStyle w:val="ListParagraph"/>
        <w:numPr>
          <w:ilvl w:val="0"/>
          <w:numId w:val="2"/>
        </w:numPr>
        <w:spacing w:after="100" w:line="360" w:lineRule="auto"/>
      </w:pPr>
      <w:r>
        <w:rPr>
          <w:rFonts w:ascii="Arial" w:cs="Arial" w:eastAsia="Arial" w:hAnsi="Arial"/>
          <w:sz w:val="24"/>
          <w:szCs w:val="24"/>
        </w:rPr>
        <w:t xml:space="preserve">Human genome reference and transcriptome databases</w:t>
      </w:r>
    </w:p>
    <w:p>
      <w:pPr>
        <w:pStyle w:val="ListParagraph"/>
        <w:numPr>
          <w:ilvl w:val="0"/>
          <w:numId w:val="2"/>
        </w:numPr>
        <w:spacing w:after="100" w:line="360" w:lineRule="auto"/>
      </w:pPr>
      <w:r>
        <w:rPr>
          <w:rFonts w:ascii="Arial" w:cs="Arial" w:eastAsia="Arial" w:hAnsi="Arial"/>
          <w:sz w:val="24"/>
          <w:szCs w:val="24"/>
        </w:rPr>
        <w:t xml:space="preserve">Constraint metrics and loss-of-function intolerance data (gnomAD)</w:t>
      </w:r>
    </w:p>
    <w:p>
      <w:pPr>
        <w:pStyle w:val="ListParagraph"/>
        <w:numPr>
          <w:ilvl w:val="0"/>
          <w:numId w:val="2"/>
        </w:numPr>
        <w:spacing w:after="100" w:line="360" w:lineRule="auto"/>
      </w:pPr>
      <w:r>
        <w:rPr>
          <w:rFonts w:ascii="Arial" w:cs="Arial" w:eastAsia="Arial" w:hAnsi="Arial"/>
          <w:sz w:val="24"/>
          <w:szCs w:val="24"/>
        </w:rPr>
        <w:t xml:space="preserve">Published safety data for similar ASO therapies and GABA receptor biology</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BLAST/Bowtie2: </w:t>
      </w:r>
      <w:r>
        <w:rPr>
          <w:rFonts w:ascii="Arial" w:cs="Arial" w:eastAsia="Arial" w:hAnsi="Arial"/>
          <w:sz w:val="24"/>
          <w:szCs w:val="24"/>
        </w:rPr>
        <w:t xml:space="preserve">Sequence alignment to identify potential off-target binding sites in the genome</w:t>
      </w:r>
    </w:p>
    <w:p>
      <w:pPr>
        <w:pStyle w:val="ListParagraph"/>
        <w:numPr>
          <w:ilvl w:val="0"/>
          <w:numId w:val="2"/>
        </w:numPr>
        <w:spacing w:after="100" w:line="360" w:lineRule="auto"/>
      </w:pPr>
      <w:r>
        <w:rPr>
          <w:rFonts w:ascii="Arial" w:cs="Arial" w:eastAsia="Arial" w:hAnsi="Arial"/>
          <w:b/>
          <w:bCs/>
          <w:sz w:val="24"/>
          <w:szCs w:val="24"/>
        </w:rPr>
        <w:t xml:space="preserve">DepMap: </w:t>
      </w:r>
      <w:r>
        <w:rPr>
          <w:rFonts w:ascii="Arial" w:cs="Arial" w:eastAsia="Arial" w:hAnsi="Arial"/>
          <w:sz w:val="24"/>
          <w:szCs w:val="24"/>
        </w:rPr>
        <w:t xml:space="preserve">Dependency analysis to assess essentiality of off-target genes</w:t>
      </w:r>
    </w:p>
    <w:p>
      <w:pPr>
        <w:pStyle w:val="ListParagraph"/>
        <w:numPr>
          <w:ilvl w:val="0"/>
          <w:numId w:val="2"/>
        </w:numPr>
        <w:spacing w:after="100" w:line="360" w:lineRule="auto"/>
      </w:pPr>
      <w:r>
        <w:rPr>
          <w:rFonts w:ascii="Arial" w:cs="Arial" w:eastAsia="Arial" w:hAnsi="Arial"/>
          <w:b/>
          <w:bCs/>
          <w:sz w:val="24"/>
          <w:szCs w:val="24"/>
        </w:rPr>
        <w:t xml:space="preserve">gnomAD: </w:t>
      </w:r>
      <w:r>
        <w:rPr>
          <w:rFonts w:ascii="Arial" w:cs="Arial" w:eastAsia="Arial" w:hAnsi="Arial"/>
          <w:sz w:val="24"/>
          <w:szCs w:val="24"/>
        </w:rPr>
        <w:t xml:space="preserve">Constraint scores and loss-of-function intolerance metrics for target and potential off-target genes</w:t>
      </w:r>
    </w:p>
    <w:p>
      <w:pPr>
        <w:pStyle w:val="ListParagraph"/>
        <w:numPr>
          <w:ilvl w:val="0"/>
          <w:numId w:val="2"/>
        </w:numPr>
        <w:spacing w:after="100" w:line="360" w:lineRule="auto"/>
      </w:pPr>
      <w:r>
        <w:rPr>
          <w:rFonts w:ascii="Arial" w:cs="Arial" w:eastAsia="Arial" w:hAnsi="Arial"/>
          <w:b/>
          <w:bCs/>
          <w:sz w:val="24"/>
          <w:szCs w:val="24"/>
        </w:rPr>
        <w:t xml:space="preserve">Quiver EP Toxicity Atlas: </w:t>
      </w:r>
      <w:r>
        <w:rPr>
          <w:rFonts w:ascii="Arial" w:cs="Arial" w:eastAsia="Arial" w:hAnsi="Arial"/>
          <w:sz w:val="24"/>
          <w:szCs w:val="24"/>
        </w:rPr>
        <w:t xml:space="preserve">Electrophysiological phenotypes to assess toxicity of reduced expression for off-target genes</w:t>
      </w:r>
    </w:p>
    <w:p>
      <w:pPr>
        <w:pStyle w:val="ListParagraph"/>
        <w:numPr>
          <w:ilvl w:val="0"/>
          <w:numId w:val="2"/>
        </w:numPr>
        <w:spacing w:after="100" w:line="360" w:lineRule="auto"/>
      </w:pPr>
      <w:r>
        <w:rPr>
          <w:rFonts w:ascii="Arial" w:cs="Arial" w:eastAsia="Arial" w:hAnsi="Arial"/>
          <w:b/>
          <w:bCs/>
          <w:sz w:val="24"/>
          <w:szCs w:val="24"/>
        </w:rPr>
        <w:t xml:space="preserve">CpG Motif Scanner: </w:t>
      </w:r>
      <w:r>
        <w:rPr>
          <w:rFonts w:ascii="Arial" w:cs="Arial" w:eastAsia="Arial" w:hAnsi="Arial"/>
          <w:sz w:val="24"/>
          <w:szCs w:val="24"/>
        </w:rPr>
        <w:t xml:space="preserve">Identify CpG dinucleotides in ASO sequences (trigger innate immune response)</w:t>
      </w:r>
    </w:p>
    <w:p>
      <w:pPr>
        <w:pStyle w:val="ListParagraph"/>
        <w:numPr>
          <w:ilvl w:val="0"/>
          <w:numId w:val="2"/>
        </w:numPr>
        <w:spacing w:after="100" w:line="360" w:lineRule="auto"/>
      </w:pPr>
      <w:r>
        <w:rPr>
          <w:rFonts w:ascii="Arial" w:cs="Arial" w:eastAsia="Arial" w:hAnsi="Arial"/>
          <w:b/>
          <w:bCs/>
          <w:sz w:val="24"/>
          <w:szCs w:val="24"/>
        </w:rPr>
        <w:t xml:space="preserve">PubMed: </w:t>
      </w:r>
      <w:r>
        <w:rPr>
          <w:rFonts w:ascii="Arial" w:cs="Arial" w:eastAsia="Arial" w:hAnsi="Arial"/>
          <w:sz w:val="24"/>
          <w:szCs w:val="24"/>
        </w:rPr>
        <w:t xml:space="preserve">Published safety data for ASO therapies and GABA receptor dysfunction mechanisms</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Search for off-target matches of each ASO in the human genome and transcriptome.</w:t>
      </w:r>
    </w:p>
    <w:p>
      <w:pPr>
        <w:pStyle w:val="ListParagraph"/>
        <w:numPr>
          <w:ilvl w:val="0"/>
          <w:numId w:val="2"/>
        </w:numPr>
        <w:spacing w:after="100" w:line="360" w:lineRule="auto"/>
      </w:pPr>
      <w:r>
        <w:rPr>
          <w:rFonts w:ascii="Arial" w:cs="Arial" w:eastAsia="Arial" w:hAnsi="Arial"/>
          <w:sz w:val="24"/>
          <w:szCs w:val="24"/>
        </w:rPr>
        <w:t xml:space="preserve">For any significant off-targets, query DepMap and gnomAD to assess their essentiality and constraint.</w:t>
      </w:r>
    </w:p>
    <w:p>
      <w:pPr>
        <w:pStyle w:val="ListParagraph"/>
        <w:numPr>
          <w:ilvl w:val="0"/>
          <w:numId w:val="2"/>
        </w:numPr>
        <w:spacing w:after="100" w:line="360" w:lineRule="auto"/>
      </w:pPr>
      <w:r>
        <w:rPr>
          <w:rFonts w:ascii="Arial" w:cs="Arial" w:eastAsia="Arial" w:hAnsi="Arial"/>
          <w:sz w:val="24"/>
          <w:szCs w:val="24"/>
        </w:rPr>
        <w:t xml:space="preserve">Evaluate risk of over-knockdown: What are the consequences of reducing GABRB3, GABRA5, GABRG3 below diploid levels?</w:t>
      </w:r>
    </w:p>
    <w:p>
      <w:pPr>
        <w:pStyle w:val="ListParagraph"/>
        <w:numPr>
          <w:ilvl w:val="0"/>
          <w:numId w:val="2"/>
        </w:numPr>
        <w:spacing w:after="100" w:line="360" w:lineRule="auto"/>
      </w:pPr>
      <w:r>
        <w:rPr>
          <w:rFonts w:ascii="Arial" w:cs="Arial" w:eastAsia="Arial" w:hAnsi="Arial"/>
          <w:sz w:val="24"/>
          <w:szCs w:val="24"/>
        </w:rPr>
        <w:t xml:space="preserve">Scan ASO sequences for CpG motifs that could trigger TLR9-mediated innate immune activation.</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Off-target analysis report with list of all significant matches (&gt;80% identity) in genome</w:t>
      </w:r>
    </w:p>
    <w:p>
      <w:pPr>
        <w:pStyle w:val="ListParagraph"/>
        <w:numPr>
          <w:ilvl w:val="0"/>
          <w:numId w:val="2"/>
        </w:numPr>
        <w:spacing w:after="100" w:line="360" w:lineRule="auto"/>
      </w:pPr>
      <w:r>
        <w:rPr>
          <w:rFonts w:ascii="Arial" w:cs="Arial" w:eastAsia="Arial" w:hAnsi="Arial"/>
          <w:sz w:val="24"/>
          <w:szCs w:val="24"/>
        </w:rPr>
        <w:t xml:space="preserve">Safety assessment table: target gene, off-target genes, constraint scores (pLI, LOEUF), risk level</w:t>
      </w:r>
    </w:p>
    <w:p>
      <w:pPr>
        <w:pStyle w:val="ListParagraph"/>
        <w:numPr>
          <w:ilvl w:val="0"/>
          <w:numId w:val="2"/>
        </w:numPr>
        <w:spacing w:after="100" w:line="360" w:lineRule="auto"/>
      </w:pPr>
      <w:r>
        <w:rPr>
          <w:rFonts w:ascii="Arial" w:cs="Arial" w:eastAsia="Arial" w:hAnsi="Arial"/>
          <w:sz w:val="24"/>
          <w:szCs w:val="24"/>
        </w:rPr>
        <w:t xml:space="preserve">GABA receptor biology risk assessment: impact of reduced GABRB3/GABRA5/GABRG3 on inhibitory tone</w:t>
      </w:r>
    </w:p>
    <w:p>
      <w:pPr>
        <w:pStyle w:val="ListParagraph"/>
        <w:numPr>
          <w:ilvl w:val="0"/>
          <w:numId w:val="2"/>
        </w:numPr>
        <w:spacing w:after="100" w:line="360" w:lineRule="auto"/>
      </w:pPr>
      <w:r>
        <w:rPr>
          <w:rFonts w:ascii="Arial" w:cs="Arial" w:eastAsia="Arial" w:hAnsi="Arial"/>
          <w:sz w:val="24"/>
          <w:szCs w:val="24"/>
        </w:rPr>
        <w:t xml:space="preserve">CpG motif analysis: frequency of CpG dinucleotides in each ASO sequence and immune risk prediction</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Comprehensive safety dossier with multi-section layout including BLAST results, constraint metrics, GABA receptor safety evaluation, and CpG motif summary.</w:t>
      </w:r>
    </w:p>
    <w:p>
      <w:pPr>
        <w:pStyle w:val="Heading2"/>
        <w:spacing w:before="200" w:after="200" w:line="360" w:lineRule="auto"/>
      </w:pPr>
      <w:r>
        <w:t xml:space="preserve">Stage 6: Integrated Ranking &amp; Validation Plan</w:t>
      </w:r>
    </w:p>
    <w:p>
      <w:pPr>
        <w:spacing w:after="200" w:line="360" w:lineRule="auto"/>
      </w:pPr>
      <w:r>
        <w:rPr>
          <w:rFonts w:ascii="Arial" w:cs="Arial" w:eastAsia="Arial" w:hAnsi="Arial"/>
          <w:b/>
          <w:bCs/>
          <w:sz w:val="24"/>
          <w:szCs w:val="24"/>
        </w:rPr>
        <w:t xml:space="preserve">Purpose: </w:t>
      </w:r>
      <w:r>
        <w:rPr>
          <w:rFonts w:ascii="Arial" w:cs="Arial" w:eastAsia="Arial" w:hAnsi="Arial"/>
          <w:sz w:val="24"/>
          <w:szCs w:val="24"/>
        </w:rPr>
        <w:t xml:space="preserve">Generate a final composite ranking of ASO candidates with confidence scores and recommend specific validation experiments in Dup15q patient iPSC-neurons.</w:t>
      </w:r>
    </w:p>
    <w:p>
      <w:pPr>
        <w:spacing w:after="100" w:line="360" w:lineRule="auto"/>
      </w:pPr>
      <w:r>
        <w:rPr>
          <w:rFonts w:ascii="Arial" w:cs="Arial" w:eastAsia="Arial" w:hAnsi="Arial"/>
          <w:b/>
          <w:bCs/>
          <w:sz w:val="24"/>
          <w:szCs w:val="24"/>
        </w:rPr>
        <w:t xml:space="preserve">Inputs:</w:t>
      </w:r>
    </w:p>
    <w:p>
      <w:pPr>
        <w:pStyle w:val="ListParagraph"/>
        <w:numPr>
          <w:ilvl w:val="0"/>
          <w:numId w:val="2"/>
        </w:numPr>
        <w:spacing w:after="100" w:line="360" w:lineRule="auto"/>
      </w:pPr>
      <w:r>
        <w:rPr>
          <w:rFonts w:ascii="Arial" w:cs="Arial" w:eastAsia="Arial" w:hAnsi="Arial"/>
          <w:sz w:val="24"/>
          <w:szCs w:val="24"/>
        </w:rPr>
        <w:t xml:space="preserve">All outputs from Stages 1-5 (gene mapping, EP rescue data, ASO designs, safety assessments)</w:t>
      </w:r>
    </w:p>
    <w:p>
      <w:pPr>
        <w:pStyle w:val="ListParagraph"/>
        <w:numPr>
          <w:ilvl w:val="0"/>
          <w:numId w:val="2"/>
        </w:numPr>
        <w:spacing w:after="100" w:line="360" w:lineRule="auto"/>
      </w:pPr>
      <w:r>
        <w:rPr>
          <w:rFonts w:ascii="Arial" w:cs="Arial" w:eastAsia="Arial" w:hAnsi="Arial"/>
          <w:sz w:val="24"/>
          <w:szCs w:val="24"/>
        </w:rPr>
        <w:t xml:space="preserve">Existing Dup15q clinical programs and trial data from ClinicalTrials.gov</w:t>
      </w:r>
    </w:p>
    <w:p>
      <w:pPr>
        <w:pStyle w:val="ListParagraph"/>
        <w:numPr>
          <w:ilvl w:val="0"/>
          <w:numId w:val="2"/>
        </w:numPr>
        <w:spacing w:after="100" w:line="360" w:lineRule="auto"/>
      </w:pPr>
      <w:r>
        <w:rPr>
          <w:rFonts w:ascii="Arial" w:cs="Arial" w:eastAsia="Arial" w:hAnsi="Arial"/>
          <w:sz w:val="24"/>
          <w:szCs w:val="24"/>
        </w:rPr>
        <w:t xml:space="preserve">Patent landscape data for Dup15q therapeutics from Lens.org</w:t>
      </w:r>
    </w:p>
    <w:p>
      <w:pPr>
        <w:pStyle w:val="ListParagraph"/>
        <w:numPr>
          <w:ilvl w:val="0"/>
          <w:numId w:val="2"/>
        </w:numPr>
        <w:spacing w:after="100" w:line="360" w:lineRule="auto"/>
      </w:pPr>
      <w:r>
        <w:rPr>
          <w:rFonts w:ascii="Arial" w:cs="Arial" w:eastAsia="Arial" w:hAnsi="Arial"/>
          <w:sz w:val="24"/>
          <w:szCs w:val="24"/>
        </w:rPr>
        <w:t xml:space="preserve">Resource lists for iPSC-neuron validation models and EP recording capabilities</w:t>
      </w:r>
    </w:p>
    <w:p>
      <w:pPr>
        <w:spacing w:after="100" w:line="360" w:lineRule="auto"/>
      </w:pPr>
      <w:r>
        <w:rPr>
          <w:rFonts w:ascii="Arial" w:cs="Arial" w:eastAsia="Arial" w:hAnsi="Arial"/>
          <w:b/>
          <w:bCs/>
          <w:sz w:val="24"/>
          <w:szCs w:val="24"/>
        </w:rPr>
        <w:t xml:space="preserve">Tools &amp; Databases Called:</w:t>
      </w:r>
    </w:p>
    <w:p>
      <w:pPr>
        <w:pStyle w:val="ListParagraph"/>
        <w:numPr>
          <w:ilvl w:val="0"/>
          <w:numId w:val="2"/>
        </w:numPr>
        <w:spacing w:after="100" w:line="360" w:lineRule="auto"/>
      </w:pPr>
      <w:r>
        <w:rPr>
          <w:rFonts w:ascii="Arial" w:cs="Arial" w:eastAsia="Arial" w:hAnsi="Arial"/>
          <w:b/>
          <w:bCs/>
          <w:sz w:val="24"/>
          <w:szCs w:val="24"/>
        </w:rPr>
        <w:t xml:space="preserve">Sapphire ASO Scoring Engine: </w:t>
      </w:r>
      <w:r>
        <w:rPr>
          <w:rFonts w:ascii="Arial" w:cs="Arial" w:eastAsia="Arial" w:hAnsi="Arial"/>
          <w:sz w:val="24"/>
          <w:szCs w:val="24"/>
        </w:rPr>
        <w:t xml:space="preserve">Integrated multi-criteria ranking incorporating all stage data</w:t>
      </w:r>
    </w:p>
    <w:p>
      <w:pPr>
        <w:pStyle w:val="ListParagraph"/>
        <w:numPr>
          <w:ilvl w:val="0"/>
          <w:numId w:val="2"/>
        </w:numPr>
        <w:spacing w:after="100" w:line="360" w:lineRule="auto"/>
      </w:pPr>
      <w:r>
        <w:rPr>
          <w:rFonts w:ascii="Arial" w:cs="Arial" w:eastAsia="Arial" w:hAnsi="Arial"/>
          <w:b/>
          <w:bCs/>
          <w:sz w:val="24"/>
          <w:szCs w:val="24"/>
        </w:rPr>
        <w:t xml:space="preserve">Quiver Confidence Scoring: </w:t>
      </w:r>
      <w:r>
        <w:rPr>
          <w:rFonts w:ascii="Arial" w:cs="Arial" w:eastAsia="Arial" w:hAnsi="Arial"/>
          <w:sz w:val="24"/>
          <w:szCs w:val="24"/>
        </w:rPr>
        <w:t xml:space="preserve">Assign confidence/probability metrics to each recommended ASO</w:t>
      </w:r>
    </w:p>
    <w:p>
      <w:pPr>
        <w:pStyle w:val="ListParagraph"/>
        <w:numPr>
          <w:ilvl w:val="0"/>
          <w:numId w:val="2"/>
        </w:numPr>
        <w:spacing w:after="100" w:line="360" w:lineRule="auto"/>
      </w:pPr>
      <w:r>
        <w:rPr>
          <w:rFonts w:ascii="Arial" w:cs="Arial" w:eastAsia="Arial" w:hAnsi="Arial"/>
          <w:b/>
          <w:bCs/>
          <w:sz w:val="24"/>
          <w:szCs w:val="24"/>
        </w:rPr>
        <w:t xml:space="preserve">ClinicalTrials.gov: </w:t>
      </w:r>
      <w:r>
        <w:rPr>
          <w:rFonts w:ascii="Arial" w:cs="Arial" w:eastAsia="Arial" w:hAnsi="Arial"/>
          <w:sz w:val="24"/>
          <w:szCs w:val="24"/>
        </w:rPr>
        <w:t xml:space="preserve">Search for existing Dup15q clinical programs and trial status</w:t>
      </w:r>
    </w:p>
    <w:p>
      <w:pPr>
        <w:pStyle w:val="ListParagraph"/>
        <w:numPr>
          <w:ilvl w:val="0"/>
          <w:numId w:val="2"/>
        </w:numPr>
        <w:spacing w:after="100" w:line="360" w:lineRule="auto"/>
      </w:pPr>
      <w:r>
        <w:rPr>
          <w:rFonts w:ascii="Arial" w:cs="Arial" w:eastAsia="Arial" w:hAnsi="Arial"/>
          <w:b/>
          <w:bCs/>
          <w:sz w:val="24"/>
          <w:szCs w:val="24"/>
        </w:rPr>
        <w:t xml:space="preserve">Lens.org Patents: </w:t>
      </w:r>
      <w:r>
        <w:rPr>
          <w:rFonts w:ascii="Arial" w:cs="Arial" w:eastAsia="Arial" w:hAnsi="Arial"/>
          <w:sz w:val="24"/>
          <w:szCs w:val="24"/>
        </w:rPr>
        <w:t xml:space="preserve">Landscape analysis of patents covering Dup15q and related therapeutics</w:t>
      </w:r>
    </w:p>
    <w:p>
      <w:pPr>
        <w:pStyle w:val="ListParagraph"/>
        <w:numPr>
          <w:ilvl w:val="0"/>
          <w:numId w:val="2"/>
        </w:numPr>
        <w:spacing w:after="100" w:line="360" w:lineRule="auto"/>
      </w:pPr>
      <w:r>
        <w:rPr>
          <w:rFonts w:ascii="Arial" w:cs="Arial" w:eastAsia="Arial" w:hAnsi="Arial"/>
          <w:b/>
          <w:bCs/>
          <w:sz w:val="24"/>
          <w:szCs w:val="24"/>
        </w:rPr>
        <w:t xml:space="preserve">PubMed: </w:t>
      </w:r>
      <w:r>
        <w:rPr>
          <w:rFonts w:ascii="Arial" w:cs="Arial" w:eastAsia="Arial" w:hAnsi="Arial"/>
          <w:sz w:val="24"/>
          <w:szCs w:val="24"/>
        </w:rPr>
        <w:t xml:space="preserve">Literature on Dup15q iPSC models and ASO validation methodologies</w:t>
      </w:r>
    </w:p>
    <w:p>
      <w:pPr>
        <w:spacing w:after="100" w:line="360" w:lineRule="auto"/>
      </w:pPr>
      <w:r>
        <w:rPr>
          <w:rFonts w:ascii="Arial" w:cs="Arial" w:eastAsia="Arial" w:hAnsi="Arial"/>
          <w:b/>
          <w:bCs/>
          <w:sz w:val="24"/>
          <w:szCs w:val="24"/>
        </w:rPr>
        <w:t xml:space="preserve">Exemplary Sub-Prompts:</w:t>
      </w:r>
    </w:p>
    <w:p>
      <w:pPr>
        <w:pStyle w:val="ListParagraph"/>
        <w:numPr>
          <w:ilvl w:val="0"/>
          <w:numId w:val="2"/>
        </w:numPr>
        <w:spacing w:after="100" w:line="360" w:lineRule="auto"/>
      </w:pPr>
      <w:r>
        <w:rPr>
          <w:rFonts w:ascii="Arial" w:cs="Arial" w:eastAsia="Arial" w:hAnsi="Arial"/>
          <w:sz w:val="24"/>
          <w:szCs w:val="24"/>
        </w:rPr>
        <w:t xml:space="preserve">Integrate all Stage 1-5 data: Compute a final composite score for each ASO candidate.</w:t>
      </w:r>
    </w:p>
    <w:p>
      <w:pPr>
        <w:pStyle w:val="ListParagraph"/>
        <w:numPr>
          <w:ilvl w:val="0"/>
          <w:numId w:val="2"/>
        </w:numPr>
        <w:spacing w:after="100" w:line="360" w:lineRule="auto"/>
      </w:pPr>
      <w:r>
        <w:rPr>
          <w:rFonts w:ascii="Arial" w:cs="Arial" w:eastAsia="Arial" w:hAnsi="Arial"/>
          <w:sz w:val="24"/>
          <w:szCs w:val="24"/>
        </w:rPr>
        <w:t xml:space="preserve">Assign confidence/probability estimates (high/medium/low) to top ASO recommendations.</w:t>
      </w:r>
    </w:p>
    <w:p>
      <w:pPr>
        <w:pStyle w:val="ListParagraph"/>
        <w:numPr>
          <w:ilvl w:val="0"/>
          <w:numId w:val="2"/>
        </w:numPr>
        <w:spacing w:after="100" w:line="360" w:lineRule="auto"/>
      </w:pPr>
      <w:r>
        <w:rPr>
          <w:rFonts w:ascii="Arial" w:cs="Arial" w:eastAsia="Arial" w:hAnsi="Arial"/>
          <w:sz w:val="24"/>
          <w:szCs w:val="24"/>
        </w:rPr>
        <w:t xml:space="preserve">Design a validation roadmap for the top 2-3 ASO candidates in Dup15q iPSC-neurons.</w:t>
      </w:r>
    </w:p>
    <w:p>
      <w:pPr>
        <w:pStyle w:val="ListParagraph"/>
        <w:numPr>
          <w:ilvl w:val="0"/>
          <w:numId w:val="2"/>
        </w:numPr>
        <w:spacing w:after="100" w:line="360" w:lineRule="auto"/>
      </w:pPr>
      <w:r>
        <w:rPr>
          <w:rFonts w:ascii="Arial" w:cs="Arial" w:eastAsia="Arial" w:hAnsi="Arial"/>
          <w:sz w:val="24"/>
          <w:szCs w:val="24"/>
        </w:rPr>
        <w:t xml:space="preserve">Survey ClinicalTrials.gov and Lens.org: Are there already approved or in-development Dup15q programs?</w:t>
      </w:r>
    </w:p>
    <w:p>
      <w:pPr>
        <w:spacing w:after="100" w:line="360" w:lineRule="auto"/>
      </w:pPr>
      <w:r>
        <w:rPr>
          <w:rFonts w:ascii="Arial" w:cs="Arial" w:eastAsia="Arial" w:hAnsi="Arial"/>
          <w:b/>
          <w:bCs/>
          <w:sz w:val="24"/>
          <w:szCs w:val="24"/>
        </w:rPr>
        <w:t xml:space="preserve">Expected Outputs:</w:t>
      </w:r>
    </w:p>
    <w:p>
      <w:pPr>
        <w:pStyle w:val="ListParagraph"/>
        <w:numPr>
          <w:ilvl w:val="0"/>
          <w:numId w:val="2"/>
        </w:numPr>
        <w:spacing w:after="100" w:line="360" w:lineRule="auto"/>
      </w:pPr>
      <w:r>
        <w:rPr>
          <w:rFonts w:ascii="Arial" w:cs="Arial" w:eastAsia="Arial" w:hAnsi="Arial"/>
          <w:sz w:val="24"/>
          <w:szCs w:val="24"/>
        </w:rPr>
        <w:t xml:space="preserve">Final ranked list (top 10) of ASO candidates with composite Sapphire scores</w:t>
      </w:r>
    </w:p>
    <w:p>
      <w:pPr>
        <w:pStyle w:val="ListParagraph"/>
        <w:numPr>
          <w:ilvl w:val="0"/>
          <w:numId w:val="2"/>
        </w:numPr>
        <w:spacing w:after="100" w:line="360" w:lineRule="auto"/>
      </w:pPr>
      <w:r>
        <w:rPr>
          <w:rFonts w:ascii="Arial" w:cs="Arial" w:eastAsia="Arial" w:hAnsi="Arial"/>
          <w:sz w:val="24"/>
          <w:szCs w:val="24"/>
        </w:rPr>
        <w:t xml:space="preserve">Confidence matrix: Each ASO candidate with high/medium/low confidence estimates</w:t>
      </w:r>
    </w:p>
    <w:p>
      <w:pPr>
        <w:pStyle w:val="ListParagraph"/>
        <w:numPr>
          <w:ilvl w:val="0"/>
          <w:numId w:val="2"/>
        </w:numPr>
        <w:spacing w:after="100" w:line="360" w:lineRule="auto"/>
      </w:pPr>
      <w:r>
        <w:rPr>
          <w:rFonts w:ascii="Arial" w:cs="Arial" w:eastAsia="Arial" w:hAnsi="Arial"/>
          <w:sz w:val="24"/>
          <w:szCs w:val="24"/>
        </w:rPr>
        <w:t xml:space="preserve">Detailed validation plan: iPSC-neuron experiments (EP recording, dose-response, off-target assessment)</w:t>
      </w:r>
    </w:p>
    <w:p>
      <w:pPr>
        <w:pStyle w:val="ListParagraph"/>
        <w:numPr>
          <w:ilvl w:val="0"/>
          <w:numId w:val="2"/>
        </w:numPr>
        <w:spacing w:after="100" w:line="360" w:lineRule="auto"/>
      </w:pPr>
      <w:r>
        <w:rPr>
          <w:rFonts w:ascii="Arial" w:cs="Arial" w:eastAsia="Arial" w:hAnsi="Arial"/>
          <w:sz w:val="24"/>
          <w:szCs w:val="24"/>
        </w:rPr>
        <w:t xml:space="preserve">Competitive landscape summary: existing Dup15q programs and patent status</w:t>
      </w:r>
    </w:p>
    <w:p>
      <w:pPr>
        <w:pStyle w:val="ListParagraph"/>
        <w:numPr>
          <w:ilvl w:val="0"/>
          <w:numId w:val="2"/>
        </w:numPr>
        <w:spacing w:after="100" w:line="360" w:lineRule="auto"/>
      </w:pPr>
      <w:r>
        <w:rPr>
          <w:rFonts w:ascii="Arial" w:cs="Arial" w:eastAsia="Arial" w:hAnsi="Arial"/>
          <w:sz w:val="24"/>
          <w:szCs w:val="24"/>
        </w:rPr>
        <w:t xml:space="preserve">Recommendations for next steps (partnering, IND-enabling studies, patient engagement)</w:t>
      </w:r>
    </w:p>
    <w:p>
      <w:pPr>
        <w:spacing w:after="200" w:line="360" w:lineRule="auto"/>
      </w:pPr>
      <w:r>
        <w:rPr>
          <w:rFonts w:ascii="Arial" w:cs="Arial" w:eastAsia="Arial" w:hAnsi="Arial"/>
          <w:b/>
          <w:bCs/>
          <w:sz w:val="24"/>
          <w:szCs w:val="24"/>
        </w:rPr>
        <w:t xml:space="preserve">Format: </w:t>
      </w:r>
      <w:r>
        <w:rPr>
          <w:rFonts w:ascii="Arial" w:cs="Arial" w:eastAsia="Arial" w:hAnsi="Arial"/>
          <w:sz w:val="24"/>
          <w:szCs w:val="24"/>
        </w:rPr>
        <w:t xml:space="preserve">Executive summary with integrated ranking table, confidence scoring explanation, detailed validation roadmap, competitive landscape analysis, and strategic recommendations.</w:t>
      </w:r>
    </w:p>
    <w:p>
      <w:pPr>
        <w:pStyle w:val="Heading2"/>
        <w:spacing w:before="200" w:after="200" w:line="360" w:lineRule="auto"/>
      </w:pPr>
      <w:r>
        <w:t xml:space="preserve">Tools &amp; Databases Summary</w:t>
      </w:r>
    </w:p>
    <w:p>
      <w:pPr>
        <w:pStyle w:val="ListParagraph"/>
        <w:numPr>
          <w:ilvl w:val="0"/>
          <w:numId w:val="2"/>
        </w:numPr>
        <w:spacing w:after="100" w:line="360" w:lineRule="auto"/>
      </w:pPr>
      <w:r>
        <w:rPr>
          <w:rFonts w:ascii="Arial" w:cs="Arial" w:eastAsia="Arial" w:hAnsi="Arial"/>
          <w:sz w:val="24"/>
          <w:szCs w:val="24"/>
        </w:rPr>
        <w:t xml:space="preserve">NCBI Gene</w:t>
      </w:r>
    </w:p>
    <w:p>
      <w:pPr>
        <w:pStyle w:val="ListParagraph"/>
        <w:numPr>
          <w:ilvl w:val="0"/>
          <w:numId w:val="2"/>
        </w:numPr>
        <w:spacing w:after="100" w:line="360" w:lineRule="auto"/>
      </w:pPr>
      <w:r>
        <w:rPr>
          <w:rFonts w:ascii="Arial" w:cs="Arial" w:eastAsia="Arial" w:hAnsi="Arial"/>
          <w:sz w:val="24"/>
          <w:szCs w:val="24"/>
        </w:rPr>
        <w:t xml:space="preserve">Ensembl</w:t>
      </w:r>
    </w:p>
    <w:p>
      <w:pPr>
        <w:pStyle w:val="ListParagraph"/>
        <w:numPr>
          <w:ilvl w:val="0"/>
          <w:numId w:val="2"/>
        </w:numPr>
        <w:spacing w:after="100" w:line="360" w:lineRule="auto"/>
      </w:pPr>
      <w:r>
        <w:rPr>
          <w:rFonts w:ascii="Arial" w:cs="Arial" w:eastAsia="Arial" w:hAnsi="Arial"/>
          <w:sz w:val="24"/>
          <w:szCs w:val="24"/>
        </w:rPr>
        <w:t xml:space="preserve">GENCODE</w:t>
      </w:r>
    </w:p>
    <w:p>
      <w:pPr>
        <w:pStyle w:val="ListParagraph"/>
        <w:numPr>
          <w:ilvl w:val="0"/>
          <w:numId w:val="2"/>
        </w:numPr>
        <w:spacing w:after="100" w:line="360" w:lineRule="auto"/>
      </w:pPr>
      <w:r>
        <w:rPr>
          <w:rFonts w:ascii="Arial" w:cs="Arial" w:eastAsia="Arial" w:hAnsi="Arial"/>
          <w:sz w:val="24"/>
          <w:szCs w:val="24"/>
        </w:rPr>
        <w:t xml:space="preserve">DECIPHER</w:t>
      </w:r>
    </w:p>
    <w:p>
      <w:pPr>
        <w:pStyle w:val="ListParagraph"/>
        <w:numPr>
          <w:ilvl w:val="0"/>
          <w:numId w:val="2"/>
        </w:numPr>
        <w:spacing w:after="100" w:line="360" w:lineRule="auto"/>
      </w:pPr>
      <w:r>
        <w:rPr>
          <w:rFonts w:ascii="Arial" w:cs="Arial" w:eastAsia="Arial" w:hAnsi="Arial"/>
          <w:sz w:val="24"/>
          <w:szCs w:val="24"/>
        </w:rPr>
        <w:t xml:space="preserve">PubMed</w:t>
      </w:r>
    </w:p>
    <w:p>
      <w:pPr>
        <w:pStyle w:val="ListParagraph"/>
        <w:numPr>
          <w:ilvl w:val="0"/>
          <w:numId w:val="2"/>
        </w:numPr>
        <w:spacing w:after="100" w:line="360" w:lineRule="auto"/>
      </w:pPr>
      <w:r>
        <w:rPr>
          <w:rFonts w:ascii="Arial" w:cs="Arial" w:eastAsia="Arial" w:hAnsi="Arial"/>
          <w:sz w:val="24"/>
          <w:szCs w:val="24"/>
        </w:rPr>
        <w:t xml:space="preserve">GTEx</w:t>
      </w:r>
    </w:p>
    <w:p>
      <w:pPr>
        <w:pStyle w:val="ListParagraph"/>
        <w:numPr>
          <w:ilvl w:val="0"/>
          <w:numId w:val="2"/>
        </w:numPr>
        <w:spacing w:after="100" w:line="360" w:lineRule="auto"/>
      </w:pPr>
      <w:r>
        <w:rPr>
          <w:rFonts w:ascii="Arial" w:cs="Arial" w:eastAsia="Arial" w:hAnsi="Arial"/>
          <w:sz w:val="24"/>
          <w:szCs w:val="24"/>
        </w:rPr>
        <w:t xml:space="preserve">Quiver CRISPR EP Atlas</w:t>
      </w:r>
    </w:p>
    <w:p>
      <w:pPr>
        <w:pStyle w:val="ListParagraph"/>
        <w:numPr>
          <w:ilvl w:val="0"/>
          <w:numId w:val="2"/>
        </w:numPr>
        <w:spacing w:after="100" w:line="360" w:lineRule="auto"/>
      </w:pPr>
      <w:r>
        <w:rPr>
          <w:rFonts w:ascii="Arial" w:cs="Arial" w:eastAsia="Arial" w:hAnsi="Arial"/>
          <w:sz w:val="24"/>
          <w:szCs w:val="24"/>
        </w:rPr>
        <w:t xml:space="preserve">Quiver EP Phenotype Analysis</w:t>
      </w:r>
    </w:p>
    <w:p>
      <w:pPr>
        <w:pStyle w:val="ListParagraph"/>
        <w:numPr>
          <w:ilvl w:val="0"/>
          <w:numId w:val="2"/>
        </w:numPr>
        <w:spacing w:after="100" w:line="360" w:lineRule="auto"/>
      </w:pPr>
      <w:r>
        <w:rPr>
          <w:rFonts w:ascii="Arial" w:cs="Arial" w:eastAsia="Arial" w:hAnsi="Arial"/>
          <w:sz w:val="24"/>
          <w:szCs w:val="24"/>
        </w:rPr>
        <w:t xml:space="preserve">Sapphire Target Prioritization Engine</w:t>
      </w:r>
    </w:p>
    <w:p>
      <w:pPr>
        <w:pStyle w:val="ListParagraph"/>
        <w:numPr>
          <w:ilvl w:val="0"/>
          <w:numId w:val="2"/>
        </w:numPr>
        <w:spacing w:after="100" w:line="360" w:lineRule="auto"/>
      </w:pPr>
      <w:r>
        <w:rPr>
          <w:rFonts w:ascii="Arial" w:cs="Arial" w:eastAsia="Arial" w:hAnsi="Arial"/>
          <w:sz w:val="24"/>
          <w:szCs w:val="24"/>
        </w:rPr>
        <w:t xml:space="preserve">RNAfold</w:t>
      </w:r>
    </w:p>
    <w:p>
      <w:pPr>
        <w:pStyle w:val="ListParagraph"/>
        <w:numPr>
          <w:ilvl w:val="0"/>
          <w:numId w:val="2"/>
        </w:numPr>
        <w:spacing w:after="100" w:line="360" w:lineRule="auto"/>
      </w:pPr>
      <w:r>
        <w:rPr>
          <w:rFonts w:ascii="Arial" w:cs="Arial" w:eastAsia="Arial" w:hAnsi="Arial"/>
          <w:sz w:val="24"/>
          <w:szCs w:val="24"/>
        </w:rPr>
        <w:t xml:space="preserve">Quiver ASO Design Module</w:t>
      </w:r>
    </w:p>
    <w:p>
      <w:pPr>
        <w:pStyle w:val="ListParagraph"/>
        <w:numPr>
          <w:ilvl w:val="0"/>
          <w:numId w:val="2"/>
        </w:numPr>
        <w:spacing w:after="100" w:line="360" w:lineRule="auto"/>
      </w:pPr>
      <w:r>
        <w:rPr>
          <w:rFonts w:ascii="Arial" w:cs="Arial" w:eastAsia="Arial" w:hAnsi="Arial"/>
          <w:sz w:val="24"/>
          <w:szCs w:val="24"/>
        </w:rPr>
        <w:t xml:space="preserve">OligoCalc</w:t>
      </w:r>
    </w:p>
    <w:p>
      <w:pPr>
        <w:pStyle w:val="ListParagraph"/>
        <w:numPr>
          <w:ilvl w:val="0"/>
          <w:numId w:val="2"/>
        </w:numPr>
        <w:spacing w:after="100" w:line="360" w:lineRule="auto"/>
      </w:pPr>
      <w:r>
        <w:rPr>
          <w:rFonts w:ascii="Arial" w:cs="Arial" w:eastAsia="Arial" w:hAnsi="Arial"/>
          <w:sz w:val="24"/>
          <w:szCs w:val="24"/>
        </w:rPr>
        <w:t xml:space="preserve">Mfold/UNAfold</w:t>
      </w:r>
    </w:p>
    <w:p>
      <w:pPr>
        <w:pStyle w:val="ListParagraph"/>
        <w:numPr>
          <w:ilvl w:val="0"/>
          <w:numId w:val="2"/>
        </w:numPr>
        <w:spacing w:after="100" w:line="360" w:lineRule="auto"/>
      </w:pPr>
      <w:r>
        <w:rPr>
          <w:rFonts w:ascii="Arial" w:cs="Arial" w:eastAsia="Arial" w:hAnsi="Arial"/>
          <w:sz w:val="24"/>
          <w:szCs w:val="24"/>
        </w:rPr>
        <w:t xml:space="preserve">BLAST/Bowtie2</w:t>
      </w:r>
    </w:p>
    <w:p>
      <w:pPr>
        <w:pStyle w:val="ListParagraph"/>
        <w:numPr>
          <w:ilvl w:val="0"/>
          <w:numId w:val="2"/>
        </w:numPr>
        <w:spacing w:after="100" w:line="360" w:lineRule="auto"/>
      </w:pPr>
      <w:r>
        <w:rPr>
          <w:rFonts w:ascii="Arial" w:cs="Arial" w:eastAsia="Arial" w:hAnsi="Arial"/>
          <w:sz w:val="24"/>
          <w:szCs w:val="24"/>
        </w:rPr>
        <w:t xml:space="preserve">DepMap</w:t>
      </w:r>
    </w:p>
    <w:p>
      <w:pPr>
        <w:pStyle w:val="ListParagraph"/>
        <w:numPr>
          <w:ilvl w:val="0"/>
          <w:numId w:val="2"/>
        </w:numPr>
        <w:spacing w:after="100" w:line="360" w:lineRule="auto"/>
      </w:pPr>
      <w:r>
        <w:rPr>
          <w:rFonts w:ascii="Arial" w:cs="Arial" w:eastAsia="Arial" w:hAnsi="Arial"/>
          <w:sz w:val="24"/>
          <w:szCs w:val="24"/>
        </w:rPr>
        <w:t xml:space="preserve">gnomAD</w:t>
      </w:r>
    </w:p>
    <w:p>
      <w:pPr>
        <w:pStyle w:val="ListParagraph"/>
        <w:numPr>
          <w:ilvl w:val="0"/>
          <w:numId w:val="2"/>
        </w:numPr>
        <w:spacing w:after="100" w:line="360" w:lineRule="auto"/>
      </w:pPr>
      <w:r>
        <w:rPr>
          <w:rFonts w:ascii="Arial" w:cs="Arial" w:eastAsia="Arial" w:hAnsi="Arial"/>
          <w:sz w:val="24"/>
          <w:szCs w:val="24"/>
        </w:rPr>
        <w:t xml:space="preserve">Quiver EP Toxicity Atlas</w:t>
      </w:r>
    </w:p>
    <w:p>
      <w:pPr>
        <w:pStyle w:val="ListParagraph"/>
        <w:numPr>
          <w:ilvl w:val="0"/>
          <w:numId w:val="2"/>
        </w:numPr>
        <w:spacing w:after="100" w:line="360" w:lineRule="auto"/>
      </w:pPr>
      <w:r>
        <w:rPr>
          <w:rFonts w:ascii="Arial" w:cs="Arial" w:eastAsia="Arial" w:hAnsi="Arial"/>
          <w:sz w:val="24"/>
          <w:szCs w:val="24"/>
        </w:rPr>
        <w:t xml:space="preserve">CpG Motif Scanner</w:t>
      </w:r>
    </w:p>
    <w:p>
      <w:pPr>
        <w:pStyle w:val="ListParagraph"/>
        <w:numPr>
          <w:ilvl w:val="0"/>
          <w:numId w:val="2"/>
        </w:numPr>
        <w:spacing w:after="100" w:line="360" w:lineRule="auto"/>
      </w:pPr>
      <w:r>
        <w:rPr>
          <w:rFonts w:ascii="Arial" w:cs="Arial" w:eastAsia="Arial" w:hAnsi="Arial"/>
          <w:sz w:val="24"/>
          <w:szCs w:val="24"/>
        </w:rPr>
        <w:t xml:space="preserve">Sapphire ASO Scoring Engine</w:t>
      </w:r>
    </w:p>
    <w:p>
      <w:pPr>
        <w:pStyle w:val="ListParagraph"/>
        <w:numPr>
          <w:ilvl w:val="0"/>
          <w:numId w:val="2"/>
        </w:numPr>
        <w:spacing w:after="100" w:line="360" w:lineRule="auto"/>
      </w:pPr>
      <w:r>
        <w:rPr>
          <w:rFonts w:ascii="Arial" w:cs="Arial" w:eastAsia="Arial" w:hAnsi="Arial"/>
          <w:sz w:val="24"/>
          <w:szCs w:val="24"/>
        </w:rPr>
        <w:t xml:space="preserve">Quiver Confidence Scoring</w:t>
      </w:r>
    </w:p>
    <w:p>
      <w:pPr>
        <w:pStyle w:val="ListParagraph"/>
        <w:numPr>
          <w:ilvl w:val="0"/>
          <w:numId w:val="2"/>
        </w:numPr>
        <w:spacing w:after="100" w:line="360" w:lineRule="auto"/>
      </w:pPr>
      <w:r>
        <w:rPr>
          <w:rFonts w:ascii="Arial" w:cs="Arial" w:eastAsia="Arial" w:hAnsi="Arial"/>
          <w:sz w:val="24"/>
          <w:szCs w:val="24"/>
        </w:rPr>
        <w:t xml:space="preserve">ClinicalTrials.gov</w:t>
      </w:r>
    </w:p>
    <w:p>
      <w:pPr>
        <w:pStyle w:val="ListParagraph"/>
        <w:numPr>
          <w:ilvl w:val="0"/>
          <w:numId w:val="2"/>
        </w:numPr>
        <w:spacing w:after="100" w:line="360" w:lineRule="auto"/>
      </w:pPr>
      <w:r>
        <w:rPr>
          <w:rFonts w:ascii="Arial" w:cs="Arial" w:eastAsia="Arial" w:hAnsi="Arial"/>
          <w:sz w:val="24"/>
          <w:szCs w:val="24"/>
        </w:rPr>
        <w:t xml:space="preserve">Lens.org Patents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2026-02-19T01:50:52.416Z</dcterms:created>
  <dcterms:modified xsi:type="dcterms:W3CDTF">2026-02-19T01:50:52.416Z</dcterms:modified>
</cp:coreProperties>
</file>

<file path=docProps/custom.xml><?xml version="1.0" encoding="utf-8"?>
<Properties xmlns="http://schemas.openxmlformats.org/officeDocument/2006/custom-properties" xmlns:vt="http://schemas.openxmlformats.org/officeDocument/2006/docPropsVTypes"/>
</file>