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64"/>
        </w:rPr>
        <w:t>Sapphire Pipeline Workflow</w:t>
      </w:r>
    </w:p>
    <w:p>
      <w:pPr>
        <w:pStyle w:val="Heading2"/>
      </w:pPr>
      <w:r>
        <w:rPr>
          <w:rFonts w:ascii="Arial" w:hAnsi="Arial"/>
          <w:b/>
          <w:sz w:val="56"/>
        </w:rPr>
        <w:t>Pipeline 025: ASO Chemistry Modification Ranking for CNS Tolerability</w:t>
      </w:r>
    </w:p>
    <w:p>
      <w:r>
        <w:rPr>
          <w:rFonts w:ascii="Arial" w:hAnsi="Arial"/>
          <w:sz w:val="48"/>
        </w:rPr>
        <w:t>Rank ASO chemistry modifications (2'MOE, LNA, PMO) by predicted CNS tolerability for gene X.</w:t>
      </w:r>
    </w:p>
    <w:p>
      <w:pPr>
        <w:pStyle w:val="Heading2"/>
      </w:pPr>
      <w:r>
        <w:rPr>
          <w:rFonts w:ascii="Arial" w:hAnsi="Arial"/>
          <w:b/>
          <w:sz w:val="56"/>
        </w:rPr>
        <w:t>Pipeline Overview</w:t>
      </w:r>
    </w:p>
    <w:p>
      <w:r>
        <w:rPr>
          <w:rFonts w:ascii="Arial" w:hAnsi="Arial"/>
          <w:sz w:val="48"/>
        </w:rPr>
        <w:t>This pipeline systematically evaluates different ASO backbone and nucleotide modifications to identify those with optimal CNS biodistribution, brain penetration, and tolerability profiles. The workflow integrates pharmacokinetic modeling, neurotoxicity prediction, and Quiver's electrophysiology atlas to assess functional safety in neuronal systems.</w:t>
      </w:r>
    </w:p>
    <w:p>
      <w:r>
        <w:rPr>
          <w:rFonts w:ascii="Arial" w:hAnsi="Arial"/>
          <w:sz w:val="48"/>
        </w:rPr>
        <w:t>The analysis prioritizes central nervous system delivery potential while minimizing neurotoxic side effects, essential for therapeutic applications targeting CNS disorders. Each chemistry variant is scored across multiple CNS-relevant parameters to enable evidence-based selection of the most suitable modification pattern.</w:t>
      </w:r>
    </w:p>
    <w:p>
      <w:pPr>
        <w:pStyle w:val="Heading2"/>
      </w:pPr>
      <w:r>
        <w:rPr>
          <w:rFonts w:ascii="Arial" w:hAnsi="Arial"/>
          <w:b/>
          <w:sz w:val="56"/>
        </w:rPr>
        <w:t>Stage 1: Chemistry Variant Library Generation</w:t>
      </w:r>
    </w:p>
    <w:p>
      <w:r>
        <w:rPr>
          <w:rFonts w:ascii="Arial" w:hAnsi="Arial"/>
          <w:b/>
          <w:sz w:val="48"/>
        </w:rPr>
        <w:t xml:space="preserve">Purpose: </w:t>
      </w:r>
    </w:p>
    <w:p>
      <w:pPr>
        <w:pStyle w:val="ListBullet"/>
      </w:pPr>
      <w:r>
        <w:rPr>
          <w:rFonts w:ascii="Arial" w:hAnsi="Arial"/>
          <w:sz w:val="48"/>
        </w:rPr>
        <w:t>Create a comprehensive library of ASO chemistry variants incorporating 2'MOE, LNA, and PMO modifications with systematic structural permutations to enable comparative analysis.</w:t>
      </w:r>
    </w:p>
    <w:p>
      <w:r>
        <w:rPr>
          <w:rFonts w:ascii="Arial" w:hAnsi="Arial"/>
          <w:b/>
          <w:sz w:val="48"/>
        </w:rPr>
        <w:t xml:space="preserve">Inputs: </w:t>
      </w:r>
    </w:p>
    <w:p>
      <w:pPr>
        <w:pStyle w:val="ListBullet"/>
      </w:pPr>
      <w:r>
        <w:rPr>
          <w:rFonts w:ascii="Arial" w:hAnsi="Arial"/>
          <w:sz w:val="48"/>
        </w:rPr>
        <w:t>Base ASO sequence for gene X</w:t>
      </w:r>
    </w:p>
    <w:p>
      <w:pPr>
        <w:pStyle w:val="ListBullet"/>
      </w:pPr>
      <w:r>
        <w:rPr>
          <w:rFonts w:ascii="Arial" w:hAnsi="Arial"/>
          <w:sz w:val="48"/>
        </w:rPr>
        <w:t>Chemical modification databases (2'MOE, LNA, PMO structural parameters)</w:t>
      </w:r>
    </w:p>
    <w:p>
      <w:pPr>
        <w:pStyle w:val="ListBullet"/>
      </w:pPr>
      <w:r>
        <w:rPr>
          <w:rFonts w:ascii="Arial" w:hAnsi="Arial"/>
          <w:sz w:val="48"/>
        </w:rPr>
        <w:t>Known backbone chemistry features (phosphorothioate, boranophosphate, morpholino)</w:t>
      </w:r>
    </w:p>
    <w:p>
      <w:pPr>
        <w:pStyle w:val="ListBullet"/>
      </w:pPr>
      <w:r>
        <w:rPr>
          <w:rFonts w:ascii="Arial" w:hAnsi="Arial"/>
          <w:sz w:val="48"/>
        </w:rPr>
        <w:t>Published CNS ASO chemistry literature</w:t>
      </w:r>
    </w:p>
    <w:p>
      <w:pPr>
        <w:pStyle w:val="ListBullet"/>
      </w:pPr>
      <w:r>
        <w:rPr>
          <w:rFonts w:ascii="Arial" w:hAnsi="Arial"/>
          <w:sz w:val="48"/>
        </w:rPr>
        <w:t>Synthetic feasibility constraints</w:t>
      </w:r>
    </w:p>
    <w:p>
      <w:r>
        <w:rPr>
          <w:rFonts w:ascii="Arial" w:hAnsi="Arial"/>
          <w:b/>
          <w:sz w:val="48"/>
        </w:rPr>
        <w:t xml:space="preserve">Tools &amp; Databases Called: </w:t>
      </w:r>
    </w:p>
    <w:p>
      <w:pPr>
        <w:pStyle w:val="ListBullet"/>
      </w:pPr>
      <w:r>
        <w:rPr>
          <w:rFonts w:ascii="Arial" w:hAnsi="Arial"/>
          <w:sz w:val="48"/>
        </w:rPr>
        <w:t>ChemSpider – Chemical structure and property database</w:t>
      </w:r>
    </w:p>
    <w:p>
      <w:pPr>
        <w:pStyle w:val="ListBullet"/>
      </w:pPr>
      <w:r>
        <w:rPr>
          <w:rFonts w:ascii="Arial" w:hAnsi="Arial"/>
          <w:sz w:val="48"/>
        </w:rPr>
        <w:t>PubChem – Compound structure library and properties</w:t>
      </w:r>
    </w:p>
    <w:p>
      <w:pPr>
        <w:pStyle w:val="ListBullet"/>
      </w:pPr>
      <w:r>
        <w:rPr>
          <w:rFonts w:ascii="Arial" w:hAnsi="Arial"/>
          <w:sz w:val="48"/>
        </w:rPr>
        <w:t>Schrödinger Suite – Molecular modeling and property prediction</w:t>
      </w:r>
    </w:p>
    <w:p>
      <w:pPr>
        <w:pStyle w:val="ListBullet"/>
      </w:pPr>
      <w:r>
        <w:rPr>
          <w:rFonts w:ascii="Arial" w:hAnsi="Arial"/>
          <w:sz w:val="48"/>
        </w:rPr>
        <w:t>ChemAxon MarvinSketch – Chemical structure generation</w:t>
      </w:r>
    </w:p>
    <w:p>
      <w:pPr>
        <w:pStyle w:val="ListBullet"/>
      </w:pPr>
      <w:r>
        <w:rPr>
          <w:rFonts w:ascii="Arial" w:hAnsi="Arial"/>
          <w:sz w:val="48"/>
        </w:rPr>
        <w:t>Lipinski Rule of Five calculator</w:t>
      </w:r>
    </w:p>
    <w:p>
      <w:pPr>
        <w:pStyle w:val="ListBullet"/>
      </w:pPr>
      <w:r>
        <w:rPr>
          <w:rFonts w:ascii="Arial" w:hAnsi="Arial"/>
          <w:sz w:val="48"/>
        </w:rPr>
        <w:t>Passive permeability predictor (cLogD, PSA analysis)</w:t>
      </w:r>
    </w:p>
    <w:p>
      <w:pPr>
        <w:pStyle w:val="ListBullet"/>
      </w:pPr>
      <w:r>
        <w:rPr>
          <w:rFonts w:ascii="Arial" w:hAnsi="Arial"/>
          <w:sz w:val="48"/>
        </w:rPr>
        <w:t>Synthesis planning database (commercial availability checks)</w:t>
      </w:r>
    </w:p>
    <w:p>
      <w:r>
        <w:rPr>
          <w:rFonts w:ascii="Arial" w:hAnsi="Arial"/>
          <w:b/>
          <w:sz w:val="48"/>
        </w:rPr>
        <w:t xml:space="preserve">Exemplary Sub-Prompts: </w:t>
      </w:r>
    </w:p>
    <w:p>
      <w:pPr>
        <w:pStyle w:val="ListBullet"/>
      </w:pPr>
      <w:r>
        <w:rPr>
          <w:rFonts w:ascii="Arial" w:hAnsi="Arial"/>
          <w:sz w:val="48"/>
        </w:rPr>
        <w:t>Generate 50+ chemistry variants systematically varying 2'MOE substitution positions.</w:t>
      </w:r>
    </w:p>
    <w:p>
      <w:pPr>
        <w:pStyle w:val="ListBullet"/>
      </w:pPr>
      <w:r>
        <w:rPr>
          <w:rFonts w:ascii="Arial" w:hAnsi="Arial"/>
          <w:sz w:val="48"/>
        </w:rPr>
        <w:t>Create LNA-modified sequences with optimal gap-mer designs for RNase H activity.</w:t>
      </w:r>
    </w:p>
    <w:p>
      <w:pPr>
        <w:pStyle w:val="ListBullet"/>
      </w:pPr>
      <w:r>
        <w:rPr>
          <w:rFonts w:ascii="Arial" w:hAnsi="Arial"/>
          <w:sz w:val="48"/>
        </w:rPr>
        <w:t>Design PMO variants with cell-penetrating peptide conjugation patterns.</w:t>
      </w:r>
    </w:p>
    <w:p>
      <w:pPr>
        <w:pStyle w:val="ListBullet"/>
      </w:pPr>
      <w:r>
        <w:rPr>
          <w:rFonts w:ascii="Arial" w:hAnsi="Arial"/>
          <w:sz w:val="48"/>
        </w:rPr>
        <w:t>Calculate molecular weight and charge for each variant.</w:t>
      </w:r>
    </w:p>
    <w:p>
      <w:pPr>
        <w:pStyle w:val="ListBullet"/>
      </w:pPr>
      <w:r>
        <w:rPr>
          <w:rFonts w:ascii="Arial" w:hAnsi="Arial"/>
          <w:sz w:val="48"/>
        </w:rPr>
        <w:t>Assess synthetic feasibility and estimated cost per variant.</w:t>
      </w:r>
    </w:p>
    <w:p>
      <w:r>
        <w:rPr>
          <w:rFonts w:ascii="Arial" w:hAnsi="Arial"/>
          <w:b/>
          <w:sz w:val="48"/>
        </w:rPr>
        <w:t xml:space="preserve">Expected Outputs: </w:t>
      </w:r>
    </w:p>
    <w:p>
      <w:pPr>
        <w:pStyle w:val="ListBullet"/>
      </w:pPr>
      <w:r>
        <w:rPr>
          <w:rFonts w:ascii="Arial" w:hAnsi="Arial"/>
          <w:sz w:val="48"/>
        </w:rPr>
        <w:t>Chemistry variant library with 40+ distinct modification patterns</w:t>
      </w:r>
    </w:p>
    <w:p>
      <w:pPr>
        <w:pStyle w:val="ListBullet"/>
      </w:pPr>
      <w:r>
        <w:rPr>
          <w:rFonts w:ascii="Arial" w:hAnsi="Arial"/>
          <w:sz w:val="48"/>
        </w:rPr>
        <w:t>Structural annotation for each variant (position-by-position modifications)</w:t>
      </w:r>
    </w:p>
    <w:p>
      <w:pPr>
        <w:pStyle w:val="ListBullet"/>
      </w:pPr>
      <w:r>
        <w:rPr>
          <w:rFonts w:ascii="Arial" w:hAnsi="Arial"/>
          <w:sz w:val="48"/>
        </w:rPr>
        <w:t>Calculated physicochemical properties (MW, cLogD, PSA, charge)</w:t>
      </w:r>
    </w:p>
    <w:p>
      <w:pPr>
        <w:pStyle w:val="ListBullet"/>
      </w:pPr>
      <w:r>
        <w:rPr>
          <w:rFonts w:ascii="Arial" w:hAnsi="Arial"/>
          <w:sz w:val="48"/>
        </w:rPr>
        <w:t>Synthetic feasibility rankings and estimated synthesis costs</w:t>
      </w:r>
    </w:p>
    <w:p>
      <w:pPr>
        <w:pStyle w:val="ListBullet"/>
      </w:pPr>
      <w:r>
        <w:rPr>
          <w:rFonts w:ascii="Arial" w:hAnsi="Arial"/>
          <w:sz w:val="48"/>
        </w:rPr>
        <w:t>Preliminary solubility and formulation compatibility assessments</w:t>
      </w:r>
    </w:p>
    <w:p>
      <w:r>
        <w:rPr>
          <w:rFonts w:ascii="Arial" w:hAnsi="Arial"/>
          <w:b/>
          <w:sz w:val="48"/>
        </w:rPr>
        <w:t xml:space="preserve">Format: </w:t>
      </w:r>
    </w:p>
    <w:p>
      <w:pPr>
        <w:pStyle w:val="ListBullet"/>
      </w:pPr>
      <w:r>
        <w:rPr>
          <w:rFonts w:ascii="Arial" w:hAnsi="Arial"/>
          <w:sz w:val="48"/>
        </w:rPr>
        <w:t>Spreadsheet with variant IDs, sequences, modification patterns, and physicochemical data; structural diagrams for representative variants.</w:t>
      </w:r>
    </w:p>
    <w:p>
      <w:pPr>
        <w:pStyle w:val="Heading2"/>
      </w:pPr>
      <w:r>
        <w:rPr>
          <w:rFonts w:ascii="Arial" w:hAnsi="Arial"/>
          <w:b/>
          <w:sz w:val="56"/>
        </w:rPr>
        <w:t>Stage 2: Physicochemical Property Profiling</w:t>
      </w:r>
    </w:p>
    <w:p>
      <w:r>
        <w:rPr>
          <w:rFonts w:ascii="Arial" w:hAnsi="Arial"/>
          <w:b/>
          <w:sz w:val="48"/>
        </w:rPr>
        <w:t xml:space="preserve">Purpose: </w:t>
      </w:r>
    </w:p>
    <w:p>
      <w:pPr>
        <w:pStyle w:val="ListBullet"/>
      </w:pPr>
      <w:r>
        <w:rPr>
          <w:rFonts w:ascii="Arial" w:hAnsi="Arial"/>
          <w:sz w:val="48"/>
        </w:rPr>
        <w:t>Predict and rank all chemistry variants by physicochemical properties relevant to CNS penetration (permeability, solubility, blood-brain barrier activity).</w:t>
      </w:r>
    </w:p>
    <w:p>
      <w:r>
        <w:rPr>
          <w:rFonts w:ascii="Arial" w:hAnsi="Arial"/>
          <w:b/>
          <w:sz w:val="48"/>
        </w:rPr>
        <w:t xml:space="preserve">Inputs: </w:t>
      </w:r>
    </w:p>
    <w:p>
      <w:pPr>
        <w:pStyle w:val="ListBullet"/>
      </w:pPr>
      <w:r>
        <w:rPr>
          <w:rFonts w:ascii="Arial" w:hAnsi="Arial"/>
          <w:sz w:val="48"/>
        </w:rPr>
        <w:t>40+ chemistry variants from Stage 1</w:t>
      </w:r>
    </w:p>
    <w:p>
      <w:pPr>
        <w:pStyle w:val="ListBullet"/>
      </w:pPr>
      <w:r>
        <w:rPr>
          <w:rFonts w:ascii="Arial" w:hAnsi="Arial"/>
          <w:sz w:val="48"/>
        </w:rPr>
        <w:t>Blood-brain barrier (BBB) permeability databases</w:t>
      </w:r>
    </w:p>
    <w:p>
      <w:pPr>
        <w:pStyle w:val="ListBullet"/>
      </w:pPr>
      <w:r>
        <w:rPr>
          <w:rFonts w:ascii="Arial" w:hAnsi="Arial"/>
          <w:sz w:val="48"/>
        </w:rPr>
        <w:t>Aqueous solubility prediction models</w:t>
      </w:r>
    </w:p>
    <w:p>
      <w:pPr>
        <w:pStyle w:val="ListBullet"/>
      </w:pPr>
      <w:r>
        <w:rPr>
          <w:rFonts w:ascii="Arial" w:hAnsi="Arial"/>
          <w:sz w:val="48"/>
        </w:rPr>
        <w:t>Protein binding affinity datasets</w:t>
      </w:r>
    </w:p>
    <w:p>
      <w:pPr>
        <w:pStyle w:val="ListBullet"/>
      </w:pPr>
      <w:r>
        <w:rPr>
          <w:rFonts w:ascii="Arial" w:hAnsi="Arial"/>
          <w:sz w:val="48"/>
        </w:rPr>
        <w:t>Membrane permeability correlations</w:t>
      </w:r>
    </w:p>
    <w:p>
      <w:r>
        <w:rPr>
          <w:rFonts w:ascii="Arial" w:hAnsi="Arial"/>
          <w:b/>
          <w:sz w:val="48"/>
        </w:rPr>
        <w:t xml:space="preserve">Tools &amp; Databases Called: </w:t>
      </w:r>
    </w:p>
    <w:p>
      <w:pPr>
        <w:pStyle w:val="ListBullet"/>
      </w:pPr>
      <w:r>
        <w:rPr>
          <w:rFonts w:ascii="Arial" w:hAnsi="Arial"/>
          <w:sz w:val="48"/>
        </w:rPr>
        <w:t>SwissADME – ADMET property prediction</w:t>
      </w:r>
    </w:p>
    <w:p>
      <w:pPr>
        <w:pStyle w:val="ListBullet"/>
      </w:pPr>
      <w:r>
        <w:rPr>
          <w:rFonts w:ascii="Arial" w:hAnsi="Arial"/>
          <w:sz w:val="48"/>
        </w:rPr>
        <w:t>ADMETLab – Integrated ADMET modeling</w:t>
      </w:r>
    </w:p>
    <w:p>
      <w:pPr>
        <w:pStyle w:val="ListBullet"/>
      </w:pPr>
      <w:r>
        <w:rPr>
          <w:rFonts w:ascii="Arial" w:hAnsi="Arial"/>
          <w:sz w:val="48"/>
        </w:rPr>
        <w:t>PSA/LogD calculator – Permeability scoring</w:t>
      </w:r>
    </w:p>
    <w:p>
      <w:pPr>
        <w:pStyle w:val="ListBullet"/>
      </w:pPr>
      <w:r>
        <w:rPr>
          <w:rFonts w:ascii="Arial" w:hAnsi="Arial"/>
          <w:sz w:val="48"/>
        </w:rPr>
        <w:t>Inductively predicted BBB permeability models</w:t>
      </w:r>
    </w:p>
    <w:p>
      <w:pPr>
        <w:pStyle w:val="ListBullet"/>
      </w:pPr>
      <w:r>
        <w:rPr>
          <w:rFonts w:ascii="Arial" w:hAnsi="Arial"/>
          <w:sz w:val="48"/>
        </w:rPr>
        <w:t>Molecular docking software (AutoDock, MOE) – Protein binding</w:t>
      </w:r>
    </w:p>
    <w:p>
      <w:pPr>
        <w:pStyle w:val="ListBullet"/>
      </w:pPr>
      <w:r>
        <w:rPr>
          <w:rFonts w:ascii="Arial" w:hAnsi="Arial"/>
          <w:sz w:val="48"/>
        </w:rPr>
        <w:t>Solubility prediction engine (ESOL, DeepSOL)</w:t>
      </w:r>
    </w:p>
    <w:p>
      <w:pPr>
        <w:pStyle w:val="ListBullet"/>
      </w:pPr>
      <w:r>
        <w:rPr>
          <w:rFonts w:ascii="Arial" w:hAnsi="Arial"/>
          <w:sz w:val="48"/>
        </w:rPr>
        <w:t>Plasma protein binding predictor</w:t>
      </w:r>
    </w:p>
    <w:p>
      <w:r>
        <w:rPr>
          <w:rFonts w:ascii="Arial" w:hAnsi="Arial"/>
          <w:b/>
          <w:sz w:val="48"/>
        </w:rPr>
        <w:t xml:space="preserve">Exemplary Sub-Prompts: </w:t>
      </w:r>
    </w:p>
    <w:p>
      <w:pPr>
        <w:pStyle w:val="ListBullet"/>
      </w:pPr>
      <w:r>
        <w:rPr>
          <w:rFonts w:ascii="Arial" w:hAnsi="Arial"/>
          <w:sz w:val="48"/>
        </w:rPr>
        <w:t>Calculate polar surface area (PSA) for all variants; flag those with PSA &gt;140 Å².</w:t>
      </w:r>
    </w:p>
    <w:p>
      <w:pPr>
        <w:pStyle w:val="ListBullet"/>
      </w:pPr>
      <w:r>
        <w:rPr>
          <w:rFonts w:ascii="Arial" w:hAnsi="Arial"/>
          <w:sz w:val="48"/>
        </w:rPr>
        <w:t>Predict aqueous solubility for each chemistry variant at physiological pH.</w:t>
      </w:r>
    </w:p>
    <w:p>
      <w:pPr>
        <w:pStyle w:val="ListBullet"/>
      </w:pPr>
      <w:r>
        <w:rPr>
          <w:rFonts w:ascii="Arial" w:hAnsi="Arial"/>
          <w:sz w:val="48"/>
        </w:rPr>
        <w:t>Estimate blood-brain barrier permeability using established predictive models.</w:t>
      </w:r>
    </w:p>
    <w:p>
      <w:pPr>
        <w:pStyle w:val="ListBullet"/>
      </w:pPr>
      <w:r>
        <w:rPr>
          <w:rFonts w:ascii="Arial" w:hAnsi="Arial"/>
          <w:sz w:val="48"/>
        </w:rPr>
        <w:t>Score passive permeability likelihood based on molecular properties.</w:t>
      </w:r>
    </w:p>
    <w:p>
      <w:pPr>
        <w:pStyle w:val="ListBullet"/>
      </w:pPr>
      <w:r>
        <w:rPr>
          <w:rFonts w:ascii="Arial" w:hAnsi="Arial"/>
          <w:sz w:val="48"/>
        </w:rPr>
        <w:t>Rank variants by estimated CNS bioavailability potential.</w:t>
      </w:r>
    </w:p>
    <w:p>
      <w:r>
        <w:rPr>
          <w:rFonts w:ascii="Arial" w:hAnsi="Arial"/>
          <w:b/>
          <w:sz w:val="48"/>
        </w:rPr>
        <w:t xml:space="preserve">Expected Outputs: </w:t>
      </w:r>
    </w:p>
    <w:p>
      <w:pPr>
        <w:pStyle w:val="ListBullet"/>
      </w:pPr>
      <w:r>
        <w:rPr>
          <w:rFonts w:ascii="Arial" w:hAnsi="Arial"/>
          <w:sz w:val="48"/>
        </w:rPr>
        <w:t>Comprehensive ADMET property table for all 40+ variants</w:t>
      </w:r>
    </w:p>
    <w:p>
      <w:pPr>
        <w:pStyle w:val="ListBullet"/>
      </w:pPr>
      <w:r>
        <w:rPr>
          <w:rFonts w:ascii="Arial" w:hAnsi="Arial"/>
          <w:sz w:val="48"/>
        </w:rPr>
        <w:t>Predicted BBB permeability scores (ranked by CNS penetration potential)</w:t>
      </w:r>
    </w:p>
    <w:p>
      <w:pPr>
        <w:pStyle w:val="ListBullet"/>
      </w:pPr>
      <w:r>
        <w:rPr>
          <w:rFonts w:ascii="Arial" w:hAnsi="Arial"/>
          <w:sz w:val="48"/>
        </w:rPr>
        <w:t>Solubility profiles at multiple pH values</w:t>
      </w:r>
    </w:p>
    <w:p>
      <w:pPr>
        <w:pStyle w:val="ListBullet"/>
      </w:pPr>
      <w:r>
        <w:rPr>
          <w:rFonts w:ascii="Arial" w:hAnsi="Arial"/>
          <w:sz w:val="48"/>
        </w:rPr>
        <w:t>Plasma protein binding estimates</w:t>
      </w:r>
    </w:p>
    <w:p>
      <w:pPr>
        <w:pStyle w:val="ListBullet"/>
      </w:pPr>
      <w:r>
        <w:rPr>
          <w:rFonts w:ascii="Arial" w:hAnsi="Arial"/>
          <w:sz w:val="48"/>
        </w:rPr>
        <w:t>Passive permeability classification (high, medium, low CNS potential)</w:t>
      </w:r>
    </w:p>
    <w:p>
      <w:pPr>
        <w:pStyle w:val="ListBullet"/>
      </w:pPr>
      <w:r>
        <w:rPr>
          <w:rFonts w:ascii="Arial" w:hAnsi="Arial"/>
          <w:sz w:val="48"/>
        </w:rPr>
        <w:t>Variant ranking by combined CNS property score</w:t>
      </w:r>
    </w:p>
    <w:p>
      <w:r>
        <w:rPr>
          <w:rFonts w:ascii="Arial" w:hAnsi="Arial"/>
          <w:b/>
          <w:sz w:val="48"/>
        </w:rPr>
        <w:t xml:space="preserve">Format: </w:t>
      </w:r>
    </w:p>
    <w:p>
      <w:pPr>
        <w:pStyle w:val="ListBullet"/>
      </w:pPr>
      <w:r>
        <w:rPr>
          <w:rFonts w:ascii="Arial" w:hAnsi="Arial"/>
          <w:sz w:val="48"/>
        </w:rPr>
        <w:t>Multi-parameter ranking table with visual heatmaps; scatter plots of PSA vs. LogD colored by predicted BBB penetration.</w:t>
      </w:r>
    </w:p>
    <w:p>
      <w:pPr>
        <w:pStyle w:val="Heading2"/>
      </w:pPr>
      <w:r>
        <w:rPr>
          <w:rFonts w:ascii="Arial" w:hAnsi="Arial"/>
          <w:b/>
          <w:sz w:val="56"/>
        </w:rPr>
        <w:t>Stage 3: Pharmacokinetic Modeling and CNS Distribution Prediction</w:t>
      </w:r>
    </w:p>
    <w:p>
      <w:r>
        <w:rPr>
          <w:rFonts w:ascii="Arial" w:hAnsi="Arial"/>
          <w:b/>
          <w:sz w:val="48"/>
        </w:rPr>
        <w:t xml:space="preserve">Purpose: </w:t>
      </w:r>
    </w:p>
    <w:p>
      <w:pPr>
        <w:pStyle w:val="ListBullet"/>
      </w:pPr>
      <w:r>
        <w:rPr>
          <w:rFonts w:ascii="Arial" w:hAnsi="Arial"/>
          <w:sz w:val="48"/>
        </w:rPr>
        <w:t>Model pharmacokinetic behavior for top chemistry variants in CNS-relevant compartments, predicting brain exposure and CSF penetration rates.</w:t>
      </w:r>
    </w:p>
    <w:p>
      <w:r>
        <w:rPr>
          <w:rFonts w:ascii="Arial" w:hAnsi="Arial"/>
          <w:b/>
          <w:sz w:val="48"/>
        </w:rPr>
        <w:t xml:space="preserve">Inputs: </w:t>
      </w:r>
    </w:p>
    <w:p>
      <w:pPr>
        <w:pStyle w:val="ListBullet"/>
      </w:pPr>
      <w:r>
        <w:rPr>
          <w:rFonts w:ascii="Arial" w:hAnsi="Arial"/>
          <w:sz w:val="48"/>
        </w:rPr>
        <w:t>Top 25 chemistry variants ranked from Stage 2</w:t>
      </w:r>
    </w:p>
    <w:p>
      <w:pPr>
        <w:pStyle w:val="ListBullet"/>
      </w:pPr>
      <w:r>
        <w:rPr>
          <w:rFonts w:ascii="Arial" w:hAnsi="Arial"/>
          <w:sz w:val="48"/>
        </w:rPr>
        <w:t>ASO pharmacokinetic reference data (published half-lives, Cmax values)</w:t>
      </w:r>
    </w:p>
    <w:p>
      <w:pPr>
        <w:pStyle w:val="ListBullet"/>
      </w:pPr>
      <w:r>
        <w:rPr>
          <w:rFonts w:ascii="Arial" w:hAnsi="Arial"/>
          <w:sz w:val="48"/>
        </w:rPr>
        <w:t>CNS penetration literature for chemically modified ASOs</w:t>
      </w:r>
    </w:p>
    <w:p>
      <w:pPr>
        <w:pStyle w:val="ListBullet"/>
      </w:pPr>
      <w:r>
        <w:rPr>
          <w:rFonts w:ascii="Arial" w:hAnsi="Arial"/>
          <w:sz w:val="48"/>
        </w:rPr>
        <w:t>Blood-brain barrier transport models</w:t>
      </w:r>
    </w:p>
    <w:p>
      <w:pPr>
        <w:pStyle w:val="ListBullet"/>
      </w:pPr>
      <w:r>
        <w:rPr>
          <w:rFonts w:ascii="Arial" w:hAnsi="Arial"/>
          <w:sz w:val="48"/>
        </w:rPr>
        <w:t>Tissue distribution datasets from preclinical studies</w:t>
      </w:r>
    </w:p>
    <w:p>
      <w:r>
        <w:rPr>
          <w:rFonts w:ascii="Arial" w:hAnsi="Arial"/>
          <w:b/>
          <w:sz w:val="48"/>
        </w:rPr>
        <w:t xml:space="preserve">Tools &amp; Databases Called: </w:t>
      </w:r>
    </w:p>
    <w:p>
      <w:pPr>
        <w:pStyle w:val="ListBullet"/>
      </w:pPr>
      <w:r>
        <w:rPr>
          <w:rFonts w:ascii="Arial" w:hAnsi="Arial"/>
          <w:sz w:val="48"/>
        </w:rPr>
        <w:t>PK Sim/PK Express – Physiologically-based PK (PBPK) modeling</w:t>
      </w:r>
    </w:p>
    <w:p>
      <w:pPr>
        <w:pStyle w:val="ListBullet"/>
      </w:pPr>
      <w:r>
        <w:rPr>
          <w:rFonts w:ascii="Arial" w:hAnsi="Arial"/>
          <w:sz w:val="48"/>
        </w:rPr>
        <w:t>GastroPlus – Advanced absorption and distribution modeling</w:t>
      </w:r>
    </w:p>
    <w:p>
      <w:pPr>
        <w:pStyle w:val="ListBullet"/>
      </w:pPr>
      <w:r>
        <w:rPr>
          <w:rFonts w:ascii="Arial" w:hAnsi="Arial"/>
          <w:sz w:val="48"/>
        </w:rPr>
        <w:t>Simcyp Simulator – Population-based PK predictions</w:t>
      </w:r>
    </w:p>
    <w:p>
      <w:pPr>
        <w:pStyle w:val="ListBullet"/>
      </w:pPr>
      <w:r>
        <w:rPr>
          <w:rFonts w:ascii="Arial" w:hAnsi="Arial"/>
          <w:sz w:val="48"/>
        </w:rPr>
        <w:t>BBB transporter database – Active transport mechanisms</w:t>
      </w:r>
    </w:p>
    <w:p>
      <w:pPr>
        <w:pStyle w:val="ListBullet"/>
      </w:pPr>
      <w:r>
        <w:rPr>
          <w:rFonts w:ascii="Arial" w:hAnsi="Arial"/>
          <w:sz w:val="48"/>
        </w:rPr>
        <w:t>Tissue partition coefficient calculator</w:t>
      </w:r>
    </w:p>
    <w:p>
      <w:pPr>
        <w:pStyle w:val="ListBullet"/>
      </w:pPr>
      <w:r>
        <w:rPr>
          <w:rFonts w:ascii="Arial" w:hAnsi="Arial"/>
          <w:sz w:val="48"/>
        </w:rPr>
        <w:t>CNS PK prediction algorithm (literature-derived)</w:t>
      </w:r>
    </w:p>
    <w:p>
      <w:pPr>
        <w:pStyle w:val="ListBullet"/>
      </w:pPr>
      <w:r>
        <w:rPr>
          <w:rFonts w:ascii="Arial" w:hAnsi="Arial"/>
          <w:sz w:val="48"/>
        </w:rPr>
        <w:t>Dose-exposure relationship simulator</w:t>
      </w:r>
    </w:p>
    <w:p>
      <w:r>
        <w:rPr>
          <w:rFonts w:ascii="Arial" w:hAnsi="Arial"/>
          <w:b/>
          <w:sz w:val="48"/>
        </w:rPr>
        <w:t xml:space="preserve">Exemplary Sub-Prompts: </w:t>
      </w:r>
    </w:p>
    <w:p>
      <w:pPr>
        <w:pStyle w:val="ListBullet"/>
      </w:pPr>
      <w:r>
        <w:rPr>
          <w:rFonts w:ascii="Arial" w:hAnsi="Arial"/>
          <w:sz w:val="48"/>
        </w:rPr>
        <w:t>Predict plasma half-life for each top variant based on modification pattern.</w:t>
      </w:r>
    </w:p>
    <w:p>
      <w:pPr>
        <w:pStyle w:val="ListBullet"/>
      </w:pPr>
      <w:r>
        <w:rPr>
          <w:rFonts w:ascii="Arial" w:hAnsi="Arial"/>
          <w:sz w:val="48"/>
        </w:rPr>
        <w:t>Model cerebrospinal fluid (CSF) penetration ratios.</w:t>
      </w:r>
    </w:p>
    <w:p>
      <w:pPr>
        <w:pStyle w:val="ListBullet"/>
      </w:pPr>
      <w:r>
        <w:rPr>
          <w:rFonts w:ascii="Arial" w:hAnsi="Arial"/>
          <w:sz w:val="48"/>
        </w:rPr>
        <w:t>Estimate brain parenchymal accumulation rates.</w:t>
      </w:r>
    </w:p>
    <w:p>
      <w:pPr>
        <w:pStyle w:val="ListBullet"/>
      </w:pPr>
      <w:r>
        <w:rPr>
          <w:rFonts w:ascii="Arial" w:hAnsi="Arial"/>
          <w:sz w:val="48"/>
        </w:rPr>
        <w:t>Compare distribution profiles across intravascular, extravascular, and CNS compartments.</w:t>
      </w:r>
    </w:p>
    <w:p>
      <w:pPr>
        <w:pStyle w:val="ListBullet"/>
      </w:pPr>
      <w:r>
        <w:rPr>
          <w:rFonts w:ascii="Arial" w:hAnsi="Arial"/>
          <w:sz w:val="48"/>
        </w:rPr>
        <w:t>Identify variants with optimal brain-to-plasma exposure ratios.</w:t>
      </w:r>
    </w:p>
    <w:p>
      <w:r>
        <w:rPr>
          <w:rFonts w:ascii="Arial" w:hAnsi="Arial"/>
          <w:b/>
          <w:sz w:val="48"/>
        </w:rPr>
        <w:t xml:space="preserve">Expected Outputs: </w:t>
      </w:r>
    </w:p>
    <w:p>
      <w:pPr>
        <w:pStyle w:val="ListBullet"/>
      </w:pPr>
      <w:r>
        <w:rPr>
          <w:rFonts w:ascii="Arial" w:hAnsi="Arial"/>
          <w:sz w:val="48"/>
        </w:rPr>
        <w:t>PBPK model outputs for all 25 variants</w:t>
      </w:r>
    </w:p>
    <w:p>
      <w:pPr>
        <w:pStyle w:val="ListBullet"/>
      </w:pPr>
      <w:r>
        <w:rPr>
          <w:rFonts w:ascii="Arial" w:hAnsi="Arial"/>
          <w:sz w:val="48"/>
        </w:rPr>
        <w:t>Predicted plasma half-life values with confidence intervals</w:t>
      </w:r>
    </w:p>
    <w:p>
      <w:pPr>
        <w:pStyle w:val="ListBullet"/>
      </w:pPr>
      <w:r>
        <w:rPr>
          <w:rFonts w:ascii="Arial" w:hAnsi="Arial"/>
          <w:sz w:val="48"/>
        </w:rPr>
        <w:t>CSF/plasma concentration ratios for each variant</w:t>
      </w:r>
    </w:p>
    <w:p>
      <w:pPr>
        <w:pStyle w:val="ListBullet"/>
      </w:pPr>
      <w:r>
        <w:rPr>
          <w:rFonts w:ascii="Arial" w:hAnsi="Arial"/>
          <w:sz w:val="48"/>
        </w:rPr>
        <w:t>Brain parenchymal accumulation profiles</w:t>
      </w:r>
    </w:p>
    <w:p>
      <w:pPr>
        <w:pStyle w:val="ListBullet"/>
      </w:pPr>
      <w:r>
        <w:rPr>
          <w:rFonts w:ascii="Arial" w:hAnsi="Arial"/>
          <w:sz w:val="48"/>
        </w:rPr>
        <w:t>Distribution time-concentration curves</w:t>
      </w:r>
    </w:p>
    <w:p>
      <w:pPr>
        <w:pStyle w:val="ListBullet"/>
      </w:pPr>
      <w:r>
        <w:rPr>
          <w:rFonts w:ascii="Arial" w:hAnsi="Arial"/>
          <w:sz w:val="48"/>
        </w:rPr>
        <w:t>Ranking of variants by CNS penetration efficiency</w:t>
      </w:r>
    </w:p>
    <w:p>
      <w:r>
        <w:rPr>
          <w:rFonts w:ascii="Arial" w:hAnsi="Arial"/>
          <w:b/>
          <w:sz w:val="48"/>
        </w:rPr>
        <w:t xml:space="preserve">Format: </w:t>
      </w:r>
    </w:p>
    <w:p>
      <w:pPr>
        <w:pStyle w:val="ListBullet"/>
      </w:pPr>
      <w:r>
        <w:rPr>
          <w:rFonts w:ascii="Arial" w:hAnsi="Arial"/>
          <w:sz w:val="48"/>
        </w:rPr>
        <w:t>Time-concentration curves overlaid for visual comparison; PK parameter summary table; distribution heatmaps across tissues.</w:t>
      </w:r>
    </w:p>
    <w:p>
      <w:pPr>
        <w:pStyle w:val="Heading2"/>
      </w:pPr>
      <w:r>
        <w:rPr>
          <w:rFonts w:ascii="Arial" w:hAnsi="Arial"/>
          <w:b/>
          <w:sz w:val="56"/>
        </w:rPr>
        <w:t>Stage 4: Neurotoxicity and Immune Tolerance Assessment Using Quiver</w:t>
      </w:r>
    </w:p>
    <w:p>
      <w:r>
        <w:rPr>
          <w:rFonts w:ascii="Arial" w:hAnsi="Arial"/>
          <w:b/>
          <w:sz w:val="48"/>
        </w:rPr>
        <w:t xml:space="preserve">Purpose: </w:t>
      </w:r>
    </w:p>
    <w:p>
      <w:pPr>
        <w:pStyle w:val="ListBullet"/>
      </w:pPr>
      <w:r>
        <w:rPr>
          <w:rFonts w:ascii="Arial" w:hAnsi="Arial"/>
          <w:sz w:val="48"/>
        </w:rPr>
        <w:t>Leverage Quiver's EP CRISPR atlas and 500+ neuronal features to predict neurotoxicity and immune activation risk profiles for each chemistry variant in primary neuronal systems.</w:t>
      </w:r>
    </w:p>
    <w:p>
      <w:r>
        <w:rPr>
          <w:rFonts w:ascii="Arial" w:hAnsi="Arial"/>
          <w:b/>
          <w:sz w:val="48"/>
        </w:rPr>
        <w:t xml:space="preserve">Inputs: </w:t>
      </w:r>
    </w:p>
    <w:p>
      <w:pPr>
        <w:pStyle w:val="ListBullet"/>
      </w:pPr>
      <w:r>
        <w:rPr>
          <w:rFonts w:ascii="Arial" w:hAnsi="Arial"/>
          <w:sz w:val="48"/>
        </w:rPr>
        <w:t>Top 15 chemistry variants from Stage 3</w:t>
      </w:r>
    </w:p>
    <w:p>
      <w:pPr>
        <w:pStyle w:val="ListBullet"/>
      </w:pPr>
      <w:r>
        <w:rPr>
          <w:rFonts w:ascii="Arial" w:hAnsi="Arial"/>
          <w:sz w:val="48"/>
        </w:rPr>
        <w:t>Quiver EP CRISPR atlas (18,000 perturbations, 500+ features)</w:t>
      </w:r>
    </w:p>
    <w:p>
      <w:pPr>
        <w:pStyle w:val="ListBullet"/>
      </w:pPr>
      <w:r>
        <w:rPr>
          <w:rFonts w:ascii="Arial" w:hAnsi="Arial"/>
          <w:sz w:val="48"/>
        </w:rPr>
        <w:t>Known toxicity mechanisms for ASO chemistry modifications</w:t>
      </w:r>
    </w:p>
    <w:p>
      <w:pPr>
        <w:pStyle w:val="ListBullet"/>
      </w:pPr>
      <w:r>
        <w:rPr>
          <w:rFonts w:ascii="Arial" w:hAnsi="Arial"/>
          <w:sz w:val="48"/>
        </w:rPr>
        <w:t>Innate immune activation signatures (TLR3/7/8 pathways)</w:t>
      </w:r>
    </w:p>
    <w:p>
      <w:pPr>
        <w:pStyle w:val="ListBullet"/>
      </w:pPr>
      <w:r>
        <w:rPr>
          <w:rFonts w:ascii="Arial" w:hAnsi="Arial"/>
          <w:sz w:val="48"/>
        </w:rPr>
        <w:t>Neuroinflammation biomarkers</w:t>
      </w:r>
    </w:p>
    <w:p>
      <w:pPr>
        <w:pStyle w:val="ListBullet"/>
      </w:pPr>
      <w:r>
        <w:rPr>
          <w:rFonts w:ascii="Arial" w:hAnsi="Arial"/>
          <w:sz w:val="48"/>
        </w:rPr>
        <w:t>Astrocyte and microglial response datasets</w:t>
      </w:r>
    </w:p>
    <w:p>
      <w:r>
        <w:rPr>
          <w:rFonts w:ascii="Arial" w:hAnsi="Arial"/>
          <w:b/>
          <w:sz w:val="48"/>
        </w:rPr>
        <w:t xml:space="preserve">Tools &amp; Databases Called: </w:t>
      </w:r>
    </w:p>
    <w:p>
      <w:pPr>
        <w:pStyle w:val="ListBullet"/>
      </w:pPr>
      <w:r>
        <w:rPr>
          <w:rFonts w:ascii="Arial" w:hAnsi="Arial"/>
          <w:sz w:val="48"/>
        </w:rPr>
        <w:t>Quiver EP atlas core database</w:t>
      </w:r>
    </w:p>
    <w:p>
      <w:pPr>
        <w:pStyle w:val="ListBullet"/>
      </w:pPr>
      <w:r>
        <w:rPr>
          <w:rFonts w:ascii="Arial" w:hAnsi="Arial"/>
          <w:sz w:val="48"/>
        </w:rPr>
        <w:t>Neuronal toxicity prediction module</w:t>
      </w:r>
    </w:p>
    <w:p>
      <w:pPr>
        <w:pStyle w:val="ListBullet"/>
      </w:pPr>
      <w:r>
        <w:rPr>
          <w:rFonts w:ascii="Arial" w:hAnsi="Arial"/>
          <w:sz w:val="48"/>
        </w:rPr>
        <w:t>Immune activation scoring engine (TLR pathway analysis)</w:t>
      </w:r>
    </w:p>
    <w:p>
      <w:pPr>
        <w:pStyle w:val="ListBullet"/>
      </w:pPr>
      <w:r>
        <w:rPr>
          <w:rFonts w:ascii="Arial" w:hAnsi="Arial"/>
          <w:sz w:val="48"/>
        </w:rPr>
        <w:t>Inflammatory cytokine signature database (IL-1β, TNF-α, IL-6, IFN-β)</w:t>
      </w:r>
    </w:p>
    <w:p>
      <w:pPr>
        <w:pStyle w:val="ListBullet"/>
      </w:pPr>
      <w:r>
        <w:rPr>
          <w:rFonts w:ascii="Arial" w:hAnsi="Arial"/>
          <w:sz w:val="48"/>
        </w:rPr>
        <w:t>Glial cell activation predictor</w:t>
      </w:r>
    </w:p>
    <w:p>
      <w:pPr>
        <w:pStyle w:val="ListBullet"/>
      </w:pPr>
      <w:r>
        <w:rPr>
          <w:rFonts w:ascii="Arial" w:hAnsi="Arial"/>
          <w:sz w:val="48"/>
        </w:rPr>
        <w:t>Gene expression module for innate immunity genes</w:t>
      </w:r>
    </w:p>
    <w:p>
      <w:pPr>
        <w:pStyle w:val="ListBullet"/>
      </w:pPr>
      <w:r>
        <w:rPr>
          <w:rFonts w:ascii="Arial" w:hAnsi="Arial"/>
          <w:sz w:val="48"/>
        </w:rPr>
        <w:t>Multi-feature electrophysiology classifier</w:t>
      </w:r>
    </w:p>
    <w:p>
      <w:r>
        <w:rPr>
          <w:rFonts w:ascii="Arial" w:hAnsi="Arial"/>
          <w:b/>
          <w:sz w:val="48"/>
        </w:rPr>
        <w:t xml:space="preserve">Exemplary Sub-Prompts: </w:t>
      </w:r>
    </w:p>
    <w:p>
      <w:pPr>
        <w:pStyle w:val="ListBullet"/>
      </w:pPr>
      <w:r>
        <w:rPr>
          <w:rFonts w:ascii="Arial" w:hAnsi="Arial"/>
          <w:sz w:val="48"/>
        </w:rPr>
        <w:t>Map each chemistry variant to neuronal toxicity phenotypes in Quiver.</w:t>
      </w:r>
    </w:p>
    <w:p>
      <w:pPr>
        <w:pStyle w:val="ListBullet"/>
      </w:pPr>
      <w:r>
        <w:rPr>
          <w:rFonts w:ascii="Arial" w:hAnsi="Arial"/>
          <w:sz w:val="48"/>
        </w:rPr>
        <w:t>Score predicted immune activation based on known innate immunity triggers.</w:t>
      </w:r>
    </w:p>
    <w:p>
      <w:pPr>
        <w:pStyle w:val="ListBullet"/>
      </w:pPr>
      <w:r>
        <w:rPr>
          <w:rFonts w:ascii="Arial" w:hAnsi="Arial"/>
          <w:sz w:val="48"/>
        </w:rPr>
        <w:t>Identify primary neuronal electrophysiological changes (action potential shape, firing frequency, synaptic transmission).</w:t>
      </w:r>
    </w:p>
    <w:p>
      <w:pPr>
        <w:pStyle w:val="ListBullet"/>
      </w:pPr>
      <w:r>
        <w:rPr>
          <w:rFonts w:ascii="Arial" w:hAnsi="Arial"/>
          <w:sz w:val="48"/>
        </w:rPr>
        <w:t>Assess astrocyte and microglial activation potential.</w:t>
      </w:r>
    </w:p>
    <w:p>
      <w:pPr>
        <w:pStyle w:val="ListBullet"/>
      </w:pPr>
      <w:r>
        <w:rPr>
          <w:rFonts w:ascii="Arial" w:hAnsi="Arial"/>
          <w:sz w:val="48"/>
        </w:rPr>
        <w:t>Rank variants by overall CNS tolerability score.</w:t>
      </w:r>
    </w:p>
    <w:p>
      <w:r>
        <w:rPr>
          <w:rFonts w:ascii="Arial" w:hAnsi="Arial"/>
          <w:b/>
          <w:sz w:val="48"/>
        </w:rPr>
        <w:t xml:space="preserve">Expected Outputs: </w:t>
      </w:r>
    </w:p>
    <w:p>
      <w:pPr>
        <w:pStyle w:val="ListBullet"/>
      </w:pPr>
      <w:r>
        <w:rPr>
          <w:rFonts w:ascii="Arial" w:hAnsi="Arial"/>
          <w:sz w:val="48"/>
        </w:rPr>
        <w:t>Neurotoxicity risk assessment for all 15 variants</w:t>
      </w:r>
    </w:p>
    <w:p>
      <w:pPr>
        <w:pStyle w:val="ListBullet"/>
      </w:pPr>
      <w:r>
        <w:rPr>
          <w:rFonts w:ascii="Arial" w:hAnsi="Arial"/>
          <w:sz w:val="48"/>
        </w:rPr>
        <w:t>Immune activation scores (relative TLR activation potential)</w:t>
      </w:r>
    </w:p>
    <w:p>
      <w:pPr>
        <w:pStyle w:val="ListBullet"/>
      </w:pPr>
      <w:r>
        <w:rPr>
          <w:rFonts w:ascii="Arial" w:hAnsi="Arial"/>
          <w:sz w:val="48"/>
        </w:rPr>
        <w:t>Predicted electrophysiological phenotype changes in neurons</w:t>
      </w:r>
    </w:p>
    <w:p>
      <w:pPr>
        <w:pStyle w:val="ListBullet"/>
      </w:pPr>
      <w:r>
        <w:rPr>
          <w:rFonts w:ascii="Arial" w:hAnsi="Arial"/>
          <w:sz w:val="48"/>
        </w:rPr>
        <w:t>Neuroinflammation biomarker predictions</w:t>
      </w:r>
    </w:p>
    <w:p>
      <w:pPr>
        <w:pStyle w:val="ListBullet"/>
      </w:pPr>
      <w:r>
        <w:rPr>
          <w:rFonts w:ascii="Arial" w:hAnsi="Arial"/>
          <w:sz w:val="48"/>
        </w:rPr>
        <w:t>Glial cell activation risk stratification</w:t>
      </w:r>
    </w:p>
    <w:p>
      <w:pPr>
        <w:pStyle w:val="ListBullet"/>
      </w:pPr>
      <w:r>
        <w:rPr>
          <w:rFonts w:ascii="Arial" w:hAnsi="Arial"/>
          <w:sz w:val="48"/>
        </w:rPr>
        <w:t>Overall CNS tolerability rankings with confidence metrics</w:t>
      </w:r>
    </w:p>
    <w:p>
      <w:r>
        <w:rPr>
          <w:rFonts w:ascii="Arial" w:hAnsi="Arial"/>
          <w:b/>
          <w:sz w:val="48"/>
        </w:rPr>
        <w:t xml:space="preserve">Format: </w:t>
      </w:r>
    </w:p>
    <w:p>
      <w:pPr>
        <w:pStyle w:val="ListBullet"/>
      </w:pPr>
      <w:r>
        <w:rPr>
          <w:rFonts w:ascii="Arial" w:hAnsi="Arial"/>
          <w:sz w:val="48"/>
        </w:rPr>
        <w:t>Toxicity scorecard for each variant; heatmaps of predicted phenotypic changes; summary risk stratification chart.</w:t>
      </w:r>
    </w:p>
    <w:p>
      <w:pPr>
        <w:pStyle w:val="Heading2"/>
      </w:pPr>
      <w:r>
        <w:rPr>
          <w:rFonts w:ascii="Arial" w:hAnsi="Arial"/>
          <w:b/>
          <w:sz w:val="56"/>
        </w:rPr>
        <w:t>Stage 5: Comparative Chemistry Ranking and Selection</w:t>
      </w:r>
    </w:p>
    <w:p>
      <w:r>
        <w:rPr>
          <w:rFonts w:ascii="Arial" w:hAnsi="Arial"/>
          <w:b/>
          <w:sz w:val="48"/>
        </w:rPr>
        <w:t xml:space="preserve">Purpose: </w:t>
      </w:r>
    </w:p>
    <w:p>
      <w:pPr>
        <w:pStyle w:val="ListBullet"/>
      </w:pPr>
      <w:r>
        <w:rPr>
          <w:rFonts w:ascii="Arial" w:hAnsi="Arial"/>
          <w:sz w:val="48"/>
        </w:rPr>
        <w:t>Synthesize CNS penetration, pharmacokinetic, and neurotoxicity data to create integrated ranking of ASO chemistry modifications by overall CNS suitability.</w:t>
      </w:r>
    </w:p>
    <w:p>
      <w:r>
        <w:rPr>
          <w:rFonts w:ascii="Arial" w:hAnsi="Arial"/>
          <w:b/>
          <w:sz w:val="48"/>
        </w:rPr>
        <w:t xml:space="preserve">Inputs: </w:t>
      </w:r>
    </w:p>
    <w:p>
      <w:pPr>
        <w:pStyle w:val="ListBullet"/>
      </w:pPr>
      <w:r>
        <w:rPr>
          <w:rFonts w:ascii="Arial" w:hAnsi="Arial"/>
          <w:sz w:val="48"/>
        </w:rPr>
        <w:t>Physicochemical properties from Stage 2</w:t>
      </w:r>
    </w:p>
    <w:p>
      <w:pPr>
        <w:pStyle w:val="ListBullet"/>
      </w:pPr>
      <w:r>
        <w:rPr>
          <w:rFonts w:ascii="Arial" w:hAnsi="Arial"/>
          <w:sz w:val="48"/>
        </w:rPr>
        <w:t>PK/CNS distribution predictions from Stage 3</w:t>
      </w:r>
    </w:p>
    <w:p>
      <w:pPr>
        <w:pStyle w:val="ListBullet"/>
      </w:pPr>
      <w:r>
        <w:rPr>
          <w:rFonts w:ascii="Arial" w:hAnsi="Arial"/>
          <w:sz w:val="48"/>
        </w:rPr>
        <w:t>Neurotoxicity assessments from Stage 4</w:t>
      </w:r>
    </w:p>
    <w:p>
      <w:pPr>
        <w:pStyle w:val="ListBullet"/>
      </w:pPr>
      <w:r>
        <w:rPr>
          <w:rFonts w:ascii="Arial" w:hAnsi="Arial"/>
          <w:sz w:val="48"/>
        </w:rPr>
        <w:t>Synthetic feasibility data from Stage 1</w:t>
      </w:r>
    </w:p>
    <w:p>
      <w:pPr>
        <w:pStyle w:val="ListBullet"/>
      </w:pPr>
      <w:r>
        <w:rPr>
          <w:rFonts w:ascii="Arial" w:hAnsi="Arial"/>
          <w:sz w:val="48"/>
        </w:rPr>
        <w:t>Project-specific optimization criteria</w:t>
      </w:r>
    </w:p>
    <w:p>
      <w:r>
        <w:rPr>
          <w:rFonts w:ascii="Arial" w:hAnsi="Arial"/>
          <w:b/>
          <w:sz w:val="48"/>
        </w:rPr>
        <w:t xml:space="preserve">Tools &amp; Databases Called: </w:t>
      </w:r>
    </w:p>
    <w:p>
      <w:pPr>
        <w:pStyle w:val="ListBullet"/>
      </w:pPr>
      <w:r>
        <w:rPr>
          <w:rFonts w:ascii="Arial" w:hAnsi="Arial"/>
          <w:sz w:val="48"/>
        </w:rPr>
        <w:t>Multi-criteria decision analysis (MCDA) platform</w:t>
      </w:r>
    </w:p>
    <w:p>
      <w:pPr>
        <w:pStyle w:val="ListBullet"/>
      </w:pPr>
      <w:r>
        <w:rPr>
          <w:rFonts w:ascii="Arial" w:hAnsi="Arial"/>
          <w:sz w:val="48"/>
        </w:rPr>
        <w:t>Chemistry preference weighting module</w:t>
      </w:r>
    </w:p>
    <w:p>
      <w:pPr>
        <w:pStyle w:val="ListBullet"/>
      </w:pPr>
      <w:r>
        <w:rPr>
          <w:rFonts w:ascii="Arial" w:hAnsi="Arial"/>
          <w:sz w:val="48"/>
        </w:rPr>
        <w:t>Integrated scoring engine</w:t>
      </w:r>
    </w:p>
    <w:p>
      <w:pPr>
        <w:pStyle w:val="ListBullet"/>
      </w:pPr>
      <w:r>
        <w:rPr>
          <w:rFonts w:ascii="Arial" w:hAnsi="Arial"/>
          <w:sz w:val="48"/>
        </w:rPr>
        <w:t>Sensitivity analysis calculator</w:t>
      </w:r>
    </w:p>
    <w:p>
      <w:pPr>
        <w:pStyle w:val="ListBullet"/>
      </w:pPr>
      <w:r>
        <w:rPr>
          <w:rFonts w:ascii="Arial" w:hAnsi="Arial"/>
          <w:sz w:val="48"/>
        </w:rPr>
        <w:t>Comparative benchmarking tool (vs. published CNS ASOs)</w:t>
      </w:r>
    </w:p>
    <w:p>
      <w:pPr>
        <w:pStyle w:val="ListBullet"/>
      </w:pPr>
      <w:r>
        <w:rPr>
          <w:rFonts w:ascii="Arial" w:hAnsi="Arial"/>
          <w:sz w:val="48"/>
        </w:rPr>
        <w:t>Portfolio optimization algorithm</w:t>
      </w:r>
    </w:p>
    <w:p>
      <w:r>
        <w:rPr>
          <w:rFonts w:ascii="Arial" w:hAnsi="Arial"/>
          <w:b/>
          <w:sz w:val="48"/>
        </w:rPr>
        <w:t xml:space="preserve">Exemplary Sub-Prompts: </w:t>
      </w:r>
    </w:p>
    <w:p>
      <w:pPr>
        <w:pStyle w:val="ListBullet"/>
      </w:pPr>
      <w:r>
        <w:rPr>
          <w:rFonts w:ascii="Arial" w:hAnsi="Arial"/>
          <w:sz w:val="48"/>
        </w:rPr>
        <w:t>Weight chemistry criteria by project priorities (CNS penetration, safety, synthesis cost).</w:t>
      </w:r>
    </w:p>
    <w:p>
      <w:pPr>
        <w:pStyle w:val="ListBullet"/>
      </w:pPr>
      <w:r>
        <w:rPr>
          <w:rFonts w:ascii="Arial" w:hAnsi="Arial"/>
          <w:sz w:val="48"/>
        </w:rPr>
        <w:t>Calculate integrated CNS tolerability-efficacy scores for all top variants.</w:t>
      </w:r>
    </w:p>
    <w:p>
      <w:pPr>
        <w:pStyle w:val="ListBullet"/>
      </w:pPr>
      <w:r>
        <w:rPr>
          <w:rFonts w:ascii="Arial" w:hAnsi="Arial"/>
          <w:sz w:val="48"/>
        </w:rPr>
        <w:t>Rank 2'MOE, LNA, and PMO modification categories independently.</w:t>
      </w:r>
    </w:p>
    <w:p>
      <w:pPr>
        <w:pStyle w:val="ListBullet"/>
      </w:pPr>
      <w:r>
        <w:rPr>
          <w:rFonts w:ascii="Arial" w:hAnsi="Arial"/>
          <w:sz w:val="48"/>
        </w:rPr>
        <w:t>Perform sensitivity analysis on key decision parameters.</w:t>
      </w:r>
    </w:p>
    <w:p>
      <w:pPr>
        <w:pStyle w:val="ListBullet"/>
      </w:pPr>
      <w:r>
        <w:rPr>
          <w:rFonts w:ascii="Arial" w:hAnsi="Arial"/>
          <w:sz w:val="48"/>
        </w:rPr>
        <w:t>Identify the top 5 recommended chemistry variants by category.</w:t>
      </w:r>
    </w:p>
    <w:p>
      <w:r>
        <w:rPr>
          <w:rFonts w:ascii="Arial" w:hAnsi="Arial"/>
          <w:b/>
          <w:sz w:val="48"/>
        </w:rPr>
        <w:t xml:space="preserve">Expected Outputs: </w:t>
      </w:r>
    </w:p>
    <w:p>
      <w:pPr>
        <w:pStyle w:val="ListBullet"/>
      </w:pPr>
      <w:r>
        <w:rPr>
          <w:rFonts w:ascii="Arial" w:hAnsi="Arial"/>
          <w:sz w:val="48"/>
        </w:rPr>
        <w:t>Integrated ranking table of top 10 chemistry variants</w:t>
      </w:r>
    </w:p>
    <w:p>
      <w:pPr>
        <w:pStyle w:val="ListBullet"/>
      </w:pPr>
      <w:r>
        <w:rPr>
          <w:rFonts w:ascii="Arial" w:hAnsi="Arial"/>
          <w:sz w:val="48"/>
        </w:rPr>
        <w:t>Category-specific rankings (Top 5 2'MOE, Top 5 LNA, Top 5 PMO)</w:t>
      </w:r>
    </w:p>
    <w:p>
      <w:pPr>
        <w:pStyle w:val="ListBullet"/>
      </w:pPr>
      <w:r>
        <w:rPr>
          <w:rFonts w:ascii="Arial" w:hAnsi="Arial"/>
          <w:sz w:val="48"/>
        </w:rPr>
        <w:t>Comparative scorecard with detailed justification for each top variant</w:t>
      </w:r>
    </w:p>
    <w:p>
      <w:pPr>
        <w:pStyle w:val="ListBullet"/>
      </w:pPr>
      <w:r>
        <w:rPr>
          <w:rFonts w:ascii="Arial" w:hAnsi="Arial"/>
          <w:sz w:val="48"/>
        </w:rPr>
        <w:t>Sensitivity analysis results showing robustness of ranking</w:t>
      </w:r>
    </w:p>
    <w:p>
      <w:pPr>
        <w:pStyle w:val="ListBullet"/>
      </w:pPr>
      <w:r>
        <w:rPr>
          <w:rFonts w:ascii="Arial" w:hAnsi="Arial"/>
          <w:sz w:val="48"/>
        </w:rPr>
        <w:t>Recommended chemistry selection with go/no-go decision points</w:t>
      </w:r>
    </w:p>
    <w:p>
      <w:pPr>
        <w:pStyle w:val="ListBullet"/>
      </w:pPr>
      <w:r>
        <w:rPr>
          <w:rFonts w:ascii="Arial" w:hAnsi="Arial"/>
          <w:sz w:val="48"/>
        </w:rPr>
        <w:t>Risk-benefit summary comparing top 3 candidates</w:t>
      </w:r>
    </w:p>
    <w:p>
      <w:r>
        <w:rPr>
          <w:rFonts w:ascii="Arial" w:hAnsi="Arial"/>
          <w:b/>
          <w:sz w:val="48"/>
        </w:rPr>
        <w:t xml:space="preserve">Format: </w:t>
      </w:r>
    </w:p>
    <w:p>
      <w:pPr>
        <w:pStyle w:val="ListBullet"/>
      </w:pPr>
      <w:r>
        <w:rPr>
          <w:rFonts w:ascii="Arial" w:hAnsi="Arial"/>
          <w:sz w:val="48"/>
        </w:rPr>
        <w:t>Executive summary with tiered rankings; detailed comparison matrices; sensitivity plots; visual chemistry structure comparison.</w:t>
      </w:r>
    </w:p>
    <w:p>
      <w:pPr>
        <w:pStyle w:val="Heading2"/>
      </w:pPr>
      <w:r>
        <w:rPr>
          <w:rFonts w:ascii="Arial" w:hAnsi="Arial"/>
          <w:b/>
          <w:sz w:val="56"/>
        </w:rPr>
        <w:t>Stage 6: CNS Chemistry Recommendations and Development Roadmap</w:t>
      </w:r>
    </w:p>
    <w:p>
      <w:r>
        <w:rPr>
          <w:rFonts w:ascii="Arial" w:hAnsi="Arial"/>
          <w:b/>
          <w:sz w:val="48"/>
        </w:rPr>
        <w:t xml:space="preserve">Purpose: </w:t>
      </w:r>
    </w:p>
    <w:p>
      <w:pPr>
        <w:pStyle w:val="ListBullet"/>
      </w:pPr>
      <w:r>
        <w:rPr>
          <w:rFonts w:ascii="Arial" w:hAnsi="Arial"/>
          <w:sz w:val="48"/>
        </w:rPr>
        <w:t>Compile comprehensive chemistry modification recommendations with preclinical testing strategies, formulation guidance, and regulatory pathways for CNS applications.</w:t>
      </w:r>
    </w:p>
    <w:p>
      <w:r>
        <w:rPr>
          <w:rFonts w:ascii="Arial" w:hAnsi="Arial"/>
          <w:b/>
          <w:sz w:val="48"/>
        </w:rPr>
        <w:t xml:space="preserve">Inputs: </w:t>
      </w:r>
    </w:p>
    <w:p>
      <w:pPr>
        <w:pStyle w:val="ListBullet"/>
      </w:pPr>
      <w:r>
        <w:rPr>
          <w:rFonts w:ascii="Arial" w:hAnsi="Arial"/>
          <w:sz w:val="48"/>
        </w:rPr>
        <w:t>Top 5 recommended chemistry variants from Stage 5</w:t>
      </w:r>
    </w:p>
    <w:p>
      <w:pPr>
        <w:pStyle w:val="ListBullet"/>
      </w:pPr>
      <w:r>
        <w:rPr>
          <w:rFonts w:ascii="Arial" w:hAnsi="Arial"/>
          <w:sz w:val="48"/>
        </w:rPr>
        <w:t>All analytical data from Stages 1–5</w:t>
      </w:r>
    </w:p>
    <w:p>
      <w:pPr>
        <w:pStyle w:val="ListBullet"/>
      </w:pPr>
      <w:r>
        <w:rPr>
          <w:rFonts w:ascii="Arial" w:hAnsi="Arial"/>
          <w:sz w:val="48"/>
        </w:rPr>
        <w:t>CNS drug development regulatory guidance</w:t>
      </w:r>
    </w:p>
    <w:p>
      <w:pPr>
        <w:pStyle w:val="ListBullet"/>
      </w:pPr>
      <w:r>
        <w:rPr>
          <w:rFonts w:ascii="Arial" w:hAnsi="Arial"/>
          <w:sz w:val="48"/>
        </w:rPr>
        <w:t>Formulation science literature (intrathecal, intranasal delivery)</w:t>
      </w:r>
    </w:p>
    <w:p>
      <w:pPr>
        <w:pStyle w:val="ListBullet"/>
      </w:pPr>
      <w:r>
        <w:rPr>
          <w:rFonts w:ascii="Arial" w:hAnsi="Arial"/>
          <w:sz w:val="48"/>
        </w:rPr>
        <w:t>Comparative competitive landscape</w:t>
      </w:r>
    </w:p>
    <w:p>
      <w:r>
        <w:rPr>
          <w:rFonts w:ascii="Arial" w:hAnsi="Arial"/>
          <w:b/>
          <w:sz w:val="48"/>
        </w:rPr>
        <w:t xml:space="preserve">Tools &amp; Databases Called: </w:t>
      </w:r>
    </w:p>
    <w:p>
      <w:pPr>
        <w:pStyle w:val="ListBullet"/>
      </w:pPr>
      <w:r>
        <w:rPr>
          <w:rFonts w:ascii="Arial" w:hAnsi="Arial"/>
          <w:sz w:val="48"/>
        </w:rPr>
        <w:t>Formulation design module (solubility enhancement, stabilization)</w:t>
      </w:r>
    </w:p>
    <w:p>
      <w:pPr>
        <w:pStyle w:val="ListBullet"/>
      </w:pPr>
      <w:r>
        <w:rPr>
          <w:rFonts w:ascii="Arial" w:hAnsi="Arial"/>
          <w:sz w:val="48"/>
        </w:rPr>
        <w:t>Regulatory pathway classifier (CNS drug designation criteria)</w:t>
      </w:r>
    </w:p>
    <w:p>
      <w:pPr>
        <w:pStyle w:val="ListBullet"/>
      </w:pPr>
      <w:r>
        <w:rPr>
          <w:rFonts w:ascii="Arial" w:hAnsi="Arial"/>
          <w:sz w:val="48"/>
        </w:rPr>
        <w:t>Preclinical testing protocol templates</w:t>
      </w:r>
    </w:p>
    <w:p>
      <w:pPr>
        <w:pStyle w:val="ListBullet"/>
      </w:pPr>
      <w:r>
        <w:rPr>
          <w:rFonts w:ascii="Arial" w:hAnsi="Arial"/>
          <w:sz w:val="48"/>
        </w:rPr>
        <w:t>Toxicology database for CNS-specific GLP studies</w:t>
      </w:r>
    </w:p>
    <w:p>
      <w:pPr>
        <w:pStyle w:val="ListBullet"/>
      </w:pPr>
      <w:r>
        <w:rPr>
          <w:rFonts w:ascii="Arial" w:hAnsi="Arial"/>
          <w:sz w:val="48"/>
        </w:rPr>
        <w:t>Chemistry manufacturability assessment tool</w:t>
      </w:r>
    </w:p>
    <w:p>
      <w:pPr>
        <w:pStyle w:val="ListBullet"/>
      </w:pPr>
      <w:r>
        <w:rPr>
          <w:rFonts w:ascii="Arial" w:hAnsi="Arial"/>
          <w:sz w:val="48"/>
        </w:rPr>
        <w:t>Literature mining for chemistry-specific case studies</w:t>
      </w:r>
    </w:p>
    <w:p>
      <w:r>
        <w:rPr>
          <w:rFonts w:ascii="Arial" w:hAnsi="Arial"/>
          <w:b/>
          <w:sz w:val="48"/>
        </w:rPr>
        <w:t xml:space="preserve">Exemplary Sub-Prompts: </w:t>
      </w:r>
    </w:p>
    <w:p>
      <w:pPr>
        <w:pStyle w:val="ListBullet"/>
      </w:pPr>
      <w:r>
        <w:rPr>
          <w:rFonts w:ascii="Arial" w:hAnsi="Arial"/>
          <w:sz w:val="48"/>
        </w:rPr>
        <w:t>Recommend formulation strategies for each top chemistry variant.</w:t>
      </w:r>
    </w:p>
    <w:p>
      <w:pPr>
        <w:pStyle w:val="ListBullet"/>
      </w:pPr>
      <w:r>
        <w:rPr>
          <w:rFonts w:ascii="Arial" w:hAnsi="Arial"/>
          <w:sz w:val="48"/>
        </w:rPr>
        <w:t>Design a preclinical neurotoxicity testing plan (in vitro and in vivo).</w:t>
      </w:r>
    </w:p>
    <w:p>
      <w:pPr>
        <w:pStyle w:val="ListBullet"/>
      </w:pPr>
      <w:r>
        <w:rPr>
          <w:rFonts w:ascii="Arial" w:hAnsi="Arial"/>
          <w:sz w:val="48"/>
        </w:rPr>
        <w:t>Outline IND-enabling studies specific to CNS chemistry modifications.</w:t>
      </w:r>
    </w:p>
    <w:p>
      <w:pPr>
        <w:pStyle w:val="ListBullet"/>
      </w:pPr>
      <w:r>
        <w:rPr>
          <w:rFonts w:ascii="Arial" w:hAnsi="Arial"/>
          <w:sz w:val="48"/>
        </w:rPr>
        <w:t>Compare recommended variants against published CNS ASO programs.</w:t>
      </w:r>
    </w:p>
    <w:p>
      <w:pPr>
        <w:pStyle w:val="ListBullet"/>
      </w:pPr>
      <w:r>
        <w:rPr>
          <w:rFonts w:ascii="Arial" w:hAnsi="Arial"/>
          <w:sz w:val="48"/>
        </w:rPr>
        <w:t>Identify remaining development risks and mitigation strategies.</w:t>
      </w:r>
    </w:p>
    <w:p>
      <w:r>
        <w:rPr>
          <w:rFonts w:ascii="Arial" w:hAnsi="Arial"/>
          <w:b/>
          <w:sz w:val="48"/>
        </w:rPr>
        <w:t xml:space="preserve">Expected Outputs: </w:t>
      </w:r>
    </w:p>
    <w:p>
      <w:pPr>
        <w:pStyle w:val="ListBullet"/>
      </w:pPr>
      <w:r>
        <w:rPr>
          <w:rFonts w:ascii="Arial" w:hAnsi="Arial"/>
          <w:sz w:val="48"/>
        </w:rPr>
        <w:t>Chemistry Recommendation Summary (detailed cards for top 5 variants)</w:t>
      </w:r>
    </w:p>
    <w:p>
      <w:pPr>
        <w:pStyle w:val="ListBullet"/>
      </w:pPr>
      <w:r>
        <w:rPr>
          <w:rFonts w:ascii="Arial" w:hAnsi="Arial"/>
          <w:sz w:val="48"/>
        </w:rPr>
        <w:t>Formulation design specifications (solvents, excipients, pH optimization)</w:t>
      </w:r>
    </w:p>
    <w:p>
      <w:pPr>
        <w:pStyle w:val="ListBullet"/>
      </w:pPr>
      <w:r>
        <w:rPr>
          <w:rFonts w:ascii="Arial" w:hAnsi="Arial"/>
          <w:sz w:val="48"/>
        </w:rPr>
        <w:t>Preclinical neurotoxicity testing plan with timelines</w:t>
      </w:r>
    </w:p>
    <w:p>
      <w:pPr>
        <w:pStyle w:val="ListBullet"/>
      </w:pPr>
      <w:r>
        <w:rPr>
          <w:rFonts w:ascii="Arial" w:hAnsi="Arial"/>
          <w:sz w:val="48"/>
        </w:rPr>
        <w:t>CNS pharmacology study design recommendations</w:t>
      </w:r>
    </w:p>
    <w:p>
      <w:pPr>
        <w:pStyle w:val="ListBullet"/>
      </w:pPr>
      <w:r>
        <w:rPr>
          <w:rFonts w:ascii="Arial" w:hAnsi="Arial"/>
          <w:sz w:val="48"/>
        </w:rPr>
        <w:t>Regulatory strategy document (CNS drug pathways)</w:t>
      </w:r>
    </w:p>
    <w:p>
      <w:pPr>
        <w:pStyle w:val="ListBullet"/>
      </w:pPr>
      <w:r>
        <w:rPr>
          <w:rFonts w:ascii="Arial" w:hAnsi="Arial"/>
          <w:sz w:val="48"/>
        </w:rPr>
        <w:t>Competitive analysis against published programs</w:t>
      </w:r>
    </w:p>
    <w:p>
      <w:pPr>
        <w:pStyle w:val="ListBullet"/>
      </w:pPr>
      <w:r>
        <w:rPr>
          <w:rFonts w:ascii="Arial" w:hAnsi="Arial"/>
          <w:sz w:val="48"/>
        </w:rPr>
        <w:t>Overall project timeline and resource requirements</w:t>
      </w:r>
    </w:p>
    <w:p>
      <w:r>
        <w:rPr>
          <w:rFonts w:ascii="Arial" w:hAnsi="Arial"/>
          <w:b/>
          <w:sz w:val="48"/>
        </w:rPr>
        <w:t xml:space="preserve">Format: </w:t>
      </w:r>
    </w:p>
    <w:p>
      <w:pPr>
        <w:pStyle w:val="ListBullet"/>
      </w:pPr>
      <w:r>
        <w:rPr>
          <w:rFonts w:ascii="Arial" w:hAnsi="Arial"/>
          <w:sz w:val="48"/>
        </w:rPr>
        <w:t>Comprehensive report with executive summary, detailed variant cards, formulation specifications, testing protocols, and regulatory guidance.</w:t>
      </w:r>
    </w:p>
    <w:p>
      <w:pPr>
        <w:pStyle w:val="Heading2"/>
      </w:pPr>
      <w:r>
        <w:rPr>
          <w:rFonts w:ascii="Arial" w:hAnsi="Arial"/>
          <w:b/>
          <w:sz w:val="56"/>
        </w:rPr>
        <w:t>Tools &amp; Databases Summary</w:t>
      </w:r>
    </w:p>
    <w:p>
      <w:pPr>
        <w:pStyle w:val="ListBullet"/>
      </w:pPr>
      <w:r>
        <w:rPr>
          <w:rFonts w:ascii="Arial" w:hAnsi="Arial"/>
          <w:sz w:val="48"/>
        </w:rPr>
        <w:t>ChemSpider – Chemical structure and property database</w:t>
      </w:r>
    </w:p>
    <w:p>
      <w:pPr>
        <w:pStyle w:val="ListBullet"/>
      </w:pPr>
      <w:r>
        <w:rPr>
          <w:rFonts w:ascii="Arial" w:hAnsi="Arial"/>
          <w:sz w:val="48"/>
        </w:rPr>
        <w:t>PubChem – Compound library and chemical properties</w:t>
      </w:r>
    </w:p>
    <w:p>
      <w:pPr>
        <w:pStyle w:val="ListBullet"/>
      </w:pPr>
      <w:r>
        <w:rPr>
          <w:rFonts w:ascii="Arial" w:hAnsi="Arial"/>
          <w:sz w:val="48"/>
        </w:rPr>
        <w:t>Schrödinger Suite – Molecular modeling and prediction</w:t>
      </w:r>
    </w:p>
    <w:p>
      <w:pPr>
        <w:pStyle w:val="ListBullet"/>
      </w:pPr>
      <w:r>
        <w:rPr>
          <w:rFonts w:ascii="Arial" w:hAnsi="Arial"/>
          <w:sz w:val="48"/>
        </w:rPr>
        <w:t>ChemAxon MarvinSketch – Chemical structure generation</w:t>
      </w:r>
    </w:p>
    <w:p>
      <w:pPr>
        <w:pStyle w:val="ListBullet"/>
      </w:pPr>
      <w:r>
        <w:rPr>
          <w:rFonts w:ascii="Arial" w:hAnsi="Arial"/>
          <w:sz w:val="48"/>
        </w:rPr>
        <w:t>SwissADME – ADMET property prediction</w:t>
      </w:r>
    </w:p>
    <w:p>
      <w:pPr>
        <w:pStyle w:val="ListBullet"/>
      </w:pPr>
      <w:r>
        <w:rPr>
          <w:rFonts w:ascii="Arial" w:hAnsi="Arial"/>
          <w:sz w:val="48"/>
        </w:rPr>
        <w:t>ADMETLab – Integrated ADMET modeling engine</w:t>
      </w:r>
    </w:p>
    <w:p>
      <w:pPr>
        <w:pStyle w:val="ListBullet"/>
      </w:pPr>
      <w:r>
        <w:rPr>
          <w:rFonts w:ascii="Arial" w:hAnsi="Arial"/>
          <w:sz w:val="48"/>
        </w:rPr>
        <w:t>PSA/LogD Calculator – Permeability scoring</w:t>
      </w:r>
    </w:p>
    <w:p>
      <w:pPr>
        <w:pStyle w:val="ListBullet"/>
      </w:pPr>
      <w:r>
        <w:rPr>
          <w:rFonts w:ascii="Arial" w:hAnsi="Arial"/>
          <w:sz w:val="48"/>
        </w:rPr>
        <w:t>GastroPlus – Absorption and distribution modeling</w:t>
      </w:r>
    </w:p>
    <w:p>
      <w:pPr>
        <w:pStyle w:val="ListBullet"/>
      </w:pPr>
      <w:r>
        <w:rPr>
          <w:rFonts w:ascii="Arial" w:hAnsi="Arial"/>
          <w:sz w:val="48"/>
        </w:rPr>
        <w:t>PK Sim/PK Express – Physiologically-based PK modeling</w:t>
      </w:r>
    </w:p>
    <w:p>
      <w:pPr>
        <w:pStyle w:val="ListBullet"/>
      </w:pPr>
      <w:r>
        <w:rPr>
          <w:rFonts w:ascii="Arial" w:hAnsi="Arial"/>
          <w:sz w:val="48"/>
        </w:rPr>
        <w:t>Simcyp Simulator – Population PK predictions</w:t>
      </w:r>
    </w:p>
    <w:p>
      <w:pPr>
        <w:pStyle w:val="ListBullet"/>
      </w:pPr>
      <w:r>
        <w:rPr>
          <w:rFonts w:ascii="Arial" w:hAnsi="Arial"/>
          <w:sz w:val="48"/>
        </w:rPr>
        <w:t>BBB Transporter Database – Blood-brain barrier mechanisms</w:t>
      </w:r>
    </w:p>
    <w:p>
      <w:pPr>
        <w:pStyle w:val="ListBullet"/>
      </w:pPr>
      <w:r>
        <w:rPr>
          <w:rFonts w:ascii="Arial" w:hAnsi="Arial"/>
          <w:sz w:val="48"/>
        </w:rPr>
        <w:t>Quiver EP CRISPR Atlas – 18,000 perturbations, 500+ neuronal features</w:t>
      </w:r>
    </w:p>
    <w:p>
      <w:pPr>
        <w:pStyle w:val="ListBullet"/>
      </w:pPr>
      <w:r>
        <w:rPr>
          <w:rFonts w:ascii="Arial" w:hAnsi="Arial"/>
          <w:sz w:val="48"/>
        </w:rPr>
        <w:t>Neuronal Toxicity Prediction Module – Drug-induced neurotoxicity</w:t>
      </w:r>
    </w:p>
    <w:p>
      <w:pPr>
        <w:pStyle w:val="ListBullet"/>
      </w:pPr>
      <w:r>
        <w:rPr>
          <w:rFonts w:ascii="Arial" w:hAnsi="Arial"/>
          <w:sz w:val="48"/>
        </w:rPr>
        <w:t>Immune Activation Scoring Engine – Innate immunity prediction</w:t>
      </w:r>
    </w:p>
    <w:p>
      <w:pPr>
        <w:pStyle w:val="ListBullet"/>
      </w:pPr>
      <w:r>
        <w:rPr>
          <w:rFonts w:ascii="Arial" w:hAnsi="Arial"/>
          <w:sz w:val="48"/>
        </w:rPr>
        <w:t>Inflammatory Cytokine Biomarker Database – Neuroinflammation markers</w:t>
      </w:r>
    </w:p>
    <w:p>
      <w:pPr>
        <w:pStyle w:val="ListBullet"/>
      </w:pPr>
      <w:r>
        <w:rPr>
          <w:rFonts w:ascii="Arial" w:hAnsi="Arial"/>
          <w:sz w:val="48"/>
        </w:rPr>
        <w:t>Multi-Criteria Decision Analysis Platform – Chemistry ranking and optimization</w:t>
      </w:r>
    </w:p>
    <w:sectPr w:rsidR="00FC693F" w:rsidRPr="0006063C" w:rsidSect="00034616">
      <w:pgSz w:w="12240" w:h="15840"/>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