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Prompt: "Rank ASO chemistry modifications (2'MOE, LNA, PMO) by predicted CNS tolerability for gene X."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</w:pPr>
      <w:r>
        <w:t xml:space="preserve">Pipeline Overview</w:t>
      </w:r>
    </w:p>
    <w:p>
      <w:pPr>
        <w:spacing w:after="200" w:line="360"/>
      </w:pPr>
      <w:r>
        <w:t xml:space="preserve">This pipeline systematically ranks ASO chemistry modifications by predicted CNS tolerability for a given gene target. The three major ASO chemistries — 2'-MOE (2'-O-methoxyethyl), LNA (locked nucleic acid), and PMO (phosphorodiamidate morpholino oligomer) — have fundamentally different CNS safety profiles, pharmacokinetic properties, and efficacy characteristics that must be integrated into a composite ranking.</w:t>
      </w:r>
    </w:p>
    <w:p>
      <w:pPr>
        <w:spacing w:after="200" w:line="360"/>
      </w:pPr>
      <w:r>
        <w:t xml:space="preserve">The pipeline proceeds through six sequential stages: (1) gene target characterization to establish disease context and therapeutic requirements, (2) compilation of chemistry-specific safety and efficacy properties, (3) CNS-specific tolerability assessment, (4) integration of gene-specific modifiers, (5) composite tolerability scoring, and (6) final recommendation with confidence assessment.</w:t>
      </w:r>
    </w:p>
    <w:p>
      <w:pPr>
        <w:pStyle w:val="Heading2"/>
      </w:pPr>
      <w:r>
        <w:t xml:space="preserve">Stage 1: Gene Target &amp; Transcript Characterization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Retrieve gene X transcript, expression levels in CNS, protein function, disease context, and required therapeutic modality to establish the baseline requirements for chemistry selection.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Gene name/symbol and organism (human or model organism)</w:t>
      </w:r>
    </w:p>
    <w:p>
      <w:pPr>
        <w:spacing w:after="100" w:line="360"/>
      </w:pPr>
      <w:r>
        <w:t xml:space="preserve">Disease or therapeutic context (neurological disease, genetic disorder, cancer)</w:t>
      </w:r>
    </w:p>
    <w:p>
      <w:pPr>
        <w:spacing w:after="100" w:line="360"/>
      </w:pPr>
      <w:r>
        <w:t xml:space="preserve">Target tissue/cell type (CNS-specific vs. systemic)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Ensembl REST API: </w:t>
      </w:r>
      <w:r>
        <w:t xml:space="preserve">retrieve transcript isoforms, exon structure, regulatory regions</w:t>
      </w:r>
    </w:p>
    <w:p>
      <w:pPr>
        <w:spacing w:after="100" w:line="360"/>
      </w:pPr>
      <w:r>
        <w:rPr>
          <w:b/>
          <w:bCs/>
        </w:rPr>
        <w:t xml:space="preserve">NCBI RefSeq: </w:t>
      </w:r>
      <w:r>
        <w:t xml:space="preserve">canonical transcript definition and sequence</w:t>
      </w:r>
    </w:p>
    <w:p>
      <w:pPr>
        <w:spacing w:after="100" w:line="360"/>
      </w:pPr>
      <w:r>
        <w:rPr>
          <w:b/>
          <w:bCs/>
        </w:rPr>
        <w:t xml:space="preserve">GTEx (Genotype-Tissue Expression): </w:t>
      </w:r>
      <w:r>
        <w:t xml:space="preserve">CNS expression levels (brain, spinal cord, neural tissues)</w:t>
      </w:r>
    </w:p>
    <w:p>
      <w:pPr>
        <w:spacing w:after="100" w:line="360"/>
      </w:pPr>
      <w:r>
        <w:rPr>
          <w:b/>
          <w:bCs/>
        </w:rPr>
        <w:t xml:space="preserve">GENCODE: </w:t>
      </w:r>
      <w:r>
        <w:t xml:space="preserve">comprehensive gene annotation</w:t>
      </w:r>
    </w:p>
    <w:p>
      <w:pPr>
        <w:spacing w:after="100" w:line="360"/>
      </w:pPr>
      <w:r>
        <w:rPr>
          <w:b/>
          <w:bCs/>
        </w:rPr>
        <w:t xml:space="preserve">UniProt: </w:t>
      </w:r>
      <w:r>
        <w:t xml:space="preserve">protein function, domains, cellular localization</w:t>
      </w:r>
    </w:p>
    <w:p>
      <w:pPr>
        <w:spacing w:after="100" w:line="360"/>
      </w:pPr>
      <w:r>
        <w:rPr>
          <w:b/>
          <w:bCs/>
        </w:rPr>
        <w:t xml:space="preserve">OMIM (Online Mendelian Inheritance in Man): </w:t>
      </w:r>
      <w:r>
        <w:t xml:space="preserve">disease associations and clinical phenotypes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What are the full-length and major isoforms of gene X, and what is their exon structure?</w:t>
      </w:r>
    </w:p>
    <w:p>
      <w:pPr>
        <w:spacing w:after="100" w:line="360"/>
      </w:pPr>
      <w:r>
        <w:t xml:space="preserve">What is the expression profile of gene X across CNS tissues (brain, spinal cord, cerebellum)?</w:t>
      </w:r>
    </w:p>
    <w:p>
      <w:pPr>
        <w:spacing w:after="100" w:line="360"/>
      </w:pPr>
      <w:r>
        <w:t xml:space="preserve">What is the protein function and role in the disease pathway for gene X?</w:t>
      </w:r>
    </w:p>
    <w:p>
      <w:pPr>
        <w:spacing w:after="100" w:line="360"/>
      </w:pPr>
      <w:r>
        <w:t xml:space="preserve">What knockdown or splice modulation level is therapeutically required?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Canonical transcript sequence and structure</w:t>
      </w:r>
    </w:p>
    <w:p>
      <w:pPr>
        <w:spacing w:after="100" w:line="360"/>
      </w:pPr>
      <w:r>
        <w:t xml:space="preserve">CNS expression levels (FPKM or TPM values across brain regions)</w:t>
      </w:r>
    </w:p>
    <w:p>
      <w:pPr>
        <w:spacing w:after="100" w:line="360"/>
      </w:pPr>
      <w:r>
        <w:t xml:space="preserve">Protein function annotation and disease relevance</w:t>
      </w:r>
    </w:p>
    <w:p>
      <w:pPr>
        <w:spacing w:after="100" w:line="360"/>
      </w:pPr>
      <w:r>
        <w:t xml:space="preserve">Therapeutic modality classification (gapmer knockdown vs. splice modulation vs. steric block)</w:t>
      </w:r>
    </w:p>
    <w:p>
      <w:pPr>
        <w:spacing w:after="100" w:line="360"/>
      </w:pPr>
      <w:r>
        <w:t xml:space="preserve">Target knockdown level (e.g., 70% reduction for loss-of-function, 50% for haploinsufficiency)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Structured summary with gene metadata, transcript sequences, expression table, and therapeutic requirements.</w:t>
      </w:r>
    </w:p>
    <w:p>
      <w:pPr>
        <w:pStyle w:val="Heading2"/>
      </w:pPr>
      <w:r>
        <w:t xml:space="preserve">Stage 2: Chemistry-Specific Property Compilation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Compile comprehensive profiles for each ASO chemistry platform, integrating clinical safety data, PK/PD properties, and known tolerability patterns.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List of target chemistries: 2'-MOE, LNA, PMO</w:t>
      </w:r>
    </w:p>
    <w:p>
      <w:pPr>
        <w:spacing w:after="100" w:line="360"/>
      </w:pPr>
      <w:r>
        <w:t xml:space="preserve">Query parameters: clinical trials, safety signals, efficacy data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PubMed: </w:t>
      </w:r>
      <w:r>
        <w:t xml:space="preserve">published clinical trial safety and efficacy data for each chemistry</w:t>
      </w:r>
    </w:p>
    <w:p>
      <w:pPr>
        <w:spacing w:after="100" w:line="360"/>
      </w:pPr>
      <w:r>
        <w:rPr>
          <w:b/>
          <w:bCs/>
        </w:rPr>
        <w:t xml:space="preserve">FDA DailyMed: </w:t>
      </w:r>
      <w:r>
        <w:t xml:space="preserve">approved ASO drug labels (nusinersen, tofersen, inotersen)</w:t>
      </w:r>
    </w:p>
    <w:p>
      <w:pPr>
        <w:spacing w:after="100" w:line="360"/>
      </w:pPr>
      <w:r>
        <w:rPr>
          <w:b/>
          <w:bCs/>
        </w:rPr>
        <w:t xml:space="preserve">EMA Assessment Reports: </w:t>
      </w:r>
      <w:r>
        <w:t xml:space="preserve">European regulatory evaluation of ASO chemistries and safety profiles</w:t>
      </w:r>
    </w:p>
    <w:p>
      <w:pPr>
        <w:spacing w:after="100" w:line="360"/>
      </w:pPr>
      <w:r>
        <w:rPr>
          <w:b/>
          <w:bCs/>
        </w:rPr>
        <w:t xml:space="preserve">ChEMBL ASO Safety Database: </w:t>
      </w:r>
      <w:r>
        <w:t xml:space="preserve">curated safety data for chemical compounds and oligonucleotides</w:t>
      </w:r>
    </w:p>
    <w:p>
      <w:pPr>
        <w:spacing w:after="100" w:line="360"/>
      </w:pPr>
      <w:r>
        <w:rPr>
          <w:b/>
          <w:bCs/>
        </w:rPr>
        <w:t xml:space="preserve">Quiver ASO Chemistry Atlas: </w:t>
      </w:r>
      <w:r>
        <w:t xml:space="preserve">comprehensive ASO chemistry platform characterization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What are the clinical safety and efficacy profiles of 2'-MOE chemistry based on nusinersen, tofersen, and inotersen data?</w:t>
      </w:r>
    </w:p>
    <w:p>
      <w:pPr>
        <w:spacing w:after="100" w:line="360"/>
      </w:pPr>
      <w:r>
        <w:t xml:space="preserve">What are the known hepatotoxicity and nephrotoxicity risks for LNA chemistry?</w:t>
      </w:r>
    </w:p>
    <w:p>
      <w:pPr>
        <w:spacing w:after="100" w:line="360"/>
      </w:pPr>
      <w:r>
        <w:t xml:space="preserve">What is the cellular uptake profile of PMO and the requirement for cell-penetrating peptide conjugation?</w:t>
      </w:r>
    </w:p>
    <w:p>
      <w:pPr>
        <w:spacing w:after="100" w:line="360"/>
      </w:pPr>
      <w:r>
        <w:t xml:space="preserve">What is the RNase H activity and mechanism (gapmer vs. steric block) for each chemistry?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Chemistry profile: 2'-MOE [clinical data, known adverse events, mechanism, backbone]</w:t>
      </w:r>
    </w:p>
    <w:p>
      <w:pPr>
        <w:spacing w:after="100" w:line="360"/>
      </w:pPr>
      <w:r>
        <w:t xml:space="preserve">Chemistry profile: LNA [clinical data, hepatotoxicity risk, nephrotoxicity risk, binding affinity]</w:t>
      </w:r>
    </w:p>
    <w:p>
      <w:pPr>
        <w:spacing w:after="100" w:line="360"/>
      </w:pPr>
      <w:r>
        <w:t xml:space="preserve">Chemistry profile: PMO [cellular uptake limitations, safety advantage, steric-block only, CPP conjugation requirement]</w:t>
      </w:r>
    </w:p>
    <w:p>
      <w:pPr>
        <w:spacing w:after="100" w:line="360"/>
      </w:pPr>
      <w:r>
        <w:t xml:space="preserve">Comparative table: efficacy potential, known toxicity signals, regulatory maturity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Chemistry data sheet with clinical references, toxicity summary table, and mechanistic comparison.</w:t>
      </w:r>
    </w:p>
    <w:p>
      <w:pPr>
        <w:pStyle w:val="Heading2"/>
      </w:pPr>
      <w:r>
        <w:t xml:space="preserve">Stage 3: CNS-Specific Tolerability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Evaluate each chemistry for CNS-specific tolerability including intrathecal injection reactions, CSF inflammatory markers, neurotoxicity signals, and CNS distribution patterns.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Chemistry profiles from Stage 2</w:t>
      </w:r>
    </w:p>
    <w:p>
      <w:pPr>
        <w:spacing w:after="100" w:line="360"/>
      </w:pPr>
      <w:r>
        <w:t xml:space="preserve">CNS-specific safety data requirements (intrathecal injection, pleocytosis, neurotoxicity)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Published IT-ASO Clinical Trial Safety Data: </w:t>
      </w:r>
      <w:r>
        <w:t xml:space="preserve">intrathecal ASO trials for each chemistry (nusinersen, zolgensma variants)</w:t>
      </w:r>
    </w:p>
    <w:p>
      <w:pPr>
        <w:spacing w:after="100" w:line="360"/>
      </w:pPr>
      <w:r>
        <w:rPr>
          <w:b/>
          <w:bCs/>
        </w:rPr>
        <w:t xml:space="preserve">FDA FAERS (Adverse Event Reporting System): </w:t>
      </w:r>
      <w:r>
        <w:t xml:space="preserve">spontaneous adverse event reports for approved ASOs</w:t>
      </w:r>
    </w:p>
    <w:p>
      <w:pPr>
        <w:spacing w:after="100" w:line="360"/>
      </w:pPr>
      <w:r>
        <w:rPr>
          <w:b/>
          <w:bCs/>
        </w:rPr>
        <w:t xml:space="preserve">ClinicalTrials.gov: </w:t>
      </w:r>
      <w:r>
        <w:t xml:space="preserve">search for ongoing/completed trials with CNS safety endpoints</w:t>
      </w:r>
    </w:p>
    <w:p>
      <w:pPr>
        <w:spacing w:after="100" w:line="360"/>
      </w:pPr>
      <w:r>
        <w:rPr>
          <w:b/>
          <w:bCs/>
        </w:rPr>
        <w:t xml:space="preserve">Quiver CNS Tolerability Database: </w:t>
      </w:r>
      <w:r>
        <w:t xml:space="preserve">curated CNS safety and PK/PD data by chemistry</w:t>
      </w:r>
    </w:p>
    <w:p>
      <w:pPr>
        <w:spacing w:after="100" w:line="360"/>
      </w:pPr>
      <w:r>
        <w:rPr>
          <w:b/>
          <w:bCs/>
        </w:rPr>
        <w:t xml:space="preserve">Published CNS PK/PD Models: </w:t>
      </w:r>
      <w:r>
        <w:t xml:space="preserve">brain distribution, CSF half-life, and clearance kinetics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What is the CSF pleocytosis risk for intrathecal 2'-MOE vs. LNA vs. PMO?</w:t>
      </w:r>
    </w:p>
    <w:p>
      <w:pPr>
        <w:spacing w:after="100" w:line="360"/>
      </w:pPr>
      <w:r>
        <w:t xml:space="preserve">What injection site reactions (meningitis, aseptic meningitis, acute neurotoxicity) are reported for each chemistry?</w:t>
      </w:r>
    </w:p>
    <w:p>
      <w:pPr>
        <w:spacing w:after="100" w:line="360"/>
      </w:pPr>
      <w:r>
        <w:t xml:space="preserve">What is the CNS half-life and distribution pattern for each chemistry?</w:t>
      </w:r>
    </w:p>
    <w:p>
      <w:pPr>
        <w:spacing w:after="100" w:line="360"/>
      </w:pPr>
      <w:r>
        <w:t xml:space="preserve">Are there neurotoxicity biomarkers (neurofilament light, tau) associated with chemistry class?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CNS tolerability score for 2'-MOE (0-100 scale based on clinical data)</w:t>
      </w:r>
    </w:p>
    <w:p>
      <w:pPr>
        <w:spacing w:after="100" w:line="360"/>
      </w:pPr>
      <w:r>
        <w:t xml:space="preserve">CNS tolerability score for LNA (0-100 scale)</w:t>
      </w:r>
    </w:p>
    <w:p>
      <w:pPr>
        <w:spacing w:after="100" w:line="360"/>
      </w:pPr>
      <w:r>
        <w:t xml:space="preserve">CNS tolerability score for PMO (0-100 scale)</w:t>
      </w:r>
    </w:p>
    <w:p>
      <w:pPr>
        <w:spacing w:after="100" w:line="360"/>
      </w:pPr>
      <w:r>
        <w:t xml:space="preserve">Summary of injection site reaction risk per chemistry</w:t>
      </w:r>
    </w:p>
    <w:p>
      <w:pPr>
        <w:spacing w:after="100" w:line="360"/>
      </w:pPr>
      <w:r>
        <w:t xml:space="preserve">CNS PK/PD comparison table (half-life, distribution volume, Cmax, Tmax)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CNS safety assessment report with chemistry comparison table and risk-benefit analysis.</w:t>
      </w:r>
    </w:p>
    <w:p>
      <w:pPr>
        <w:pStyle w:val="Heading2"/>
      </w:pPr>
      <w:r>
        <w:t xml:space="preserve">Stage 4: Gene-Specific Tolerability Modifiers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Assess how gene X-specific factors (target abundance, immunostimulatory motifs, off-target profile) modify tolerability predictions across chemistries.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Gene X transcript sequence from Stage 1</w:t>
      </w:r>
    </w:p>
    <w:p>
      <w:pPr>
        <w:spacing w:after="100" w:line="360"/>
      </w:pPr>
      <w:r>
        <w:t xml:space="preserve">Target abundance (expression level) in CNS</w:t>
      </w:r>
    </w:p>
    <w:p>
      <w:pPr>
        <w:spacing w:after="100" w:line="360"/>
      </w:pPr>
      <w:r>
        <w:t xml:space="preserve">Chemistry list (2'-MOE, LNA, PMO)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CpG Motif Scanner (Chemistry-Specific Thresholds): </w:t>
      </w:r>
      <w:r>
        <w:t xml:space="preserve">scan for immunostimulatory motifs with chemistry-dependent sensitivity</w:t>
      </w:r>
    </w:p>
    <w:p>
      <w:pPr>
        <w:spacing w:after="100" w:line="360"/>
      </w:pPr>
      <w:r>
        <w:rPr>
          <w:b/>
          <w:bCs/>
        </w:rPr>
        <w:t xml:space="preserve">BLAST Off-Target Analysis (Per Chemistry): </w:t>
      </w:r>
      <w:r>
        <w:t xml:space="preserve">identify off-target binding sites and chemistry-specific cross-reactivity</w:t>
      </w:r>
    </w:p>
    <w:p>
      <w:pPr>
        <w:spacing w:after="100" w:line="360"/>
      </w:pPr>
      <w:r>
        <w:rPr>
          <w:b/>
          <w:bCs/>
        </w:rPr>
        <w:t xml:space="preserve">Quiver EP Toxicity Atlas: </w:t>
      </w:r>
      <w:r>
        <w:t xml:space="preserve">gene-specific and chemistry-specific toxicity risk assessment</w:t>
      </w:r>
    </w:p>
    <w:p>
      <w:pPr>
        <w:spacing w:after="100" w:line="360"/>
      </w:pPr>
      <w:r>
        <w:rPr>
          <w:b/>
          <w:bCs/>
        </w:rPr>
        <w:t xml:space="preserve">Dose-Response Modeling Tools: </w:t>
      </w:r>
      <w:r>
        <w:t xml:space="preserve">predict dose levels required per chemistry to achieve therapeutic knockdown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Does gene X have high-abundance expressed forms that would require lower ASO doses?</w:t>
      </w:r>
    </w:p>
    <w:p>
      <w:pPr>
        <w:spacing w:after="100" w:line="360"/>
      </w:pPr>
      <w:r>
        <w:t xml:space="preserve">What CpG-rich motifs are present in gene X transcript and how does chemistry class affect immunostimulation risk?</w:t>
      </w:r>
    </w:p>
    <w:p>
      <w:pPr>
        <w:spacing w:after="100" w:line="360"/>
      </w:pPr>
      <w:r>
        <w:t xml:space="preserve">What are the off-target binding sites for candidate ASOs targeting gene X across the genome?</w:t>
      </w:r>
    </w:p>
    <w:p>
      <w:pPr>
        <w:spacing w:after="100" w:line="360"/>
      </w:pPr>
      <w:r>
        <w:t xml:space="preserve">What dose levels are required for each chemistry to achieve therapeutic knockdown of gene X?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Target abundance assessment (high/moderate/low expression in CNS)</w:t>
      </w:r>
    </w:p>
    <w:p>
      <w:pPr>
        <w:spacing w:after="100" w:line="360"/>
      </w:pPr>
      <w:r>
        <w:t xml:space="preserve">CpG content analysis with chemistry-specific immunostimulation risk ranking</w:t>
      </w:r>
    </w:p>
    <w:p>
      <w:pPr>
        <w:spacing w:after="100" w:line="360"/>
      </w:pPr>
      <w:r>
        <w:t xml:space="preserve">Off-target analysis: number and quality of potential off-target sites per chemistry</w:t>
      </w:r>
    </w:p>
    <w:p>
      <w:pPr>
        <w:spacing w:after="100" w:line="360"/>
      </w:pPr>
      <w:r>
        <w:t xml:space="preserve">Dose-response predictions per chemistry (efficacy vs. tolerability trade-off)</w:t>
      </w:r>
    </w:p>
    <w:p>
      <w:pPr>
        <w:spacing w:after="100" w:line="360"/>
      </w:pPr>
      <w:r>
        <w:t xml:space="preserve">Gene-specific modifier score adjustments to chemistry tolerability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Gene modifier report with sequence analysis, CpG motif map, off-target prediction table, and dose-response curves.</w:t>
      </w:r>
    </w:p>
    <w:p>
      <w:pPr>
        <w:pStyle w:val="Heading2"/>
      </w:pPr>
      <w:r>
        <w:t xml:space="preserve">Stage 5: Composite Tolerability Ranking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Integrate CNS safety profile, gene-specific modifiers, efficacy potential, PK/PD properties, and regulatory maturity into a composite tolerability score and final ranking.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CNS tolerability scores from Stage 3</w:t>
      </w:r>
    </w:p>
    <w:p>
      <w:pPr>
        <w:spacing w:after="100" w:line="360"/>
      </w:pPr>
      <w:r>
        <w:t xml:space="preserve">Gene-specific modifier adjustments from Stage 4</w:t>
      </w:r>
    </w:p>
    <w:p>
      <w:pPr>
        <w:spacing w:after="100" w:line="360"/>
      </w:pPr>
      <w:r>
        <w:t xml:space="preserve">Efficacy potential per chemistry (can target knockdown be achieved?)</w:t>
      </w:r>
    </w:p>
    <w:p>
      <w:pPr>
        <w:spacing w:after="100" w:line="360"/>
      </w:pPr>
      <w:r>
        <w:t xml:space="preserve">Weighting parameters for multi-criteria decision analysis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Sapphire Chemistry Ranking Engine: </w:t>
      </w:r>
      <w:r>
        <w:t xml:space="preserve">proprietary algorithm integrating all safety, efficacy, and PK/PD inputs</w:t>
      </w:r>
    </w:p>
    <w:p>
      <w:pPr>
        <w:spacing w:after="100" w:line="360"/>
      </w:pPr>
      <w:r>
        <w:rPr>
          <w:b/>
          <w:bCs/>
        </w:rPr>
        <w:t xml:space="preserve">Multi-Criteria Decision Analysis (MCDA): </w:t>
      </w:r>
      <w:r>
        <w:t xml:space="preserve">weighted scoring and sensitivity analysis across criteria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What is the relative weighting of CNS safety vs. efficacy vs. PK properties in the overall ranking?</w:t>
      </w:r>
    </w:p>
    <w:p>
      <w:pPr>
        <w:spacing w:after="100" w:line="360"/>
      </w:pPr>
      <w:r>
        <w:t xml:space="preserve">How do manufacturing costs and regulatory precedent factor into the chemistry ranking?</w:t>
      </w:r>
    </w:p>
    <w:p>
      <w:pPr>
        <w:spacing w:after="100" w:line="360"/>
      </w:pPr>
      <w:r>
        <w:t xml:space="preserve">What is the sensitivity of the ranking to changes in CNS safety weighting?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Composite tolerability score (0-100) for each chemistry: 2'-MOE, LNA, PMO</w:t>
      </w:r>
    </w:p>
    <w:p>
      <w:pPr>
        <w:spacing w:after="100" w:line="360"/>
      </w:pPr>
      <w:r>
        <w:t xml:space="preserve">Ranked list: [1st, 2nd, 3rd] with scoring breakdown</w:t>
      </w:r>
    </w:p>
    <w:p>
      <w:pPr>
        <w:spacing w:after="100" w:line="360"/>
      </w:pPr>
      <w:r>
        <w:t xml:space="preserve">Sensitivity analysis: how ranking changes with ±10% weighting shifts</w:t>
      </w:r>
    </w:p>
    <w:p>
      <w:pPr>
        <w:spacing w:after="100" w:line="360"/>
      </w:pPr>
      <w:r>
        <w:t xml:space="preserve">Efficacy-safety trade-off visualization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Ranking report with composite score table, ranking justification, and sensitivity plots.</w:t>
      </w:r>
    </w:p>
    <w:p>
      <w:pPr>
        <w:pStyle w:val="Heading2"/>
      </w:pPr>
      <w:r>
        <w:t xml:space="preserve">Stage 6: Recommendation &amp; Confidence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Deliver final ranked recommendation with evidence rationale, identify critical data gaps, and recommend chemistry-specific preclinical validation experiments.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 w:line="360"/>
      </w:pPr>
      <w:r>
        <w:t xml:space="preserve">Composite ranking from Stage 5</w:t>
      </w:r>
    </w:p>
    <w:p>
      <w:pPr>
        <w:spacing w:after="100" w:line="360"/>
      </w:pPr>
      <w:r>
        <w:t xml:space="preserve">All supporting data and analyses from Stages 1-5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 w:line="360"/>
      </w:pPr>
      <w:r>
        <w:rPr>
          <w:b/>
          <w:bCs/>
        </w:rPr>
        <w:t xml:space="preserve">Sapphire Confidence Scoring: </w:t>
      </w:r>
      <w:r>
        <w:t xml:space="preserve">assess confidence level in recommendation based on data completeness and consistency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 w:line="360"/>
      </w:pPr>
      <w:r>
        <w:t xml:space="preserve">Based on all evidence, which chemistry ranks highest for CNS tolerability for gene X and why?</w:t>
      </w:r>
    </w:p>
    <w:p>
      <w:pPr>
        <w:spacing w:after="100" w:line="360"/>
      </w:pPr>
      <w:r>
        <w:t xml:space="preserve">What are the critical data gaps that could change the ranking?</w:t>
      </w:r>
    </w:p>
    <w:p>
      <w:pPr>
        <w:spacing w:after="100" w:line="360"/>
      </w:pPr>
      <w:r>
        <w:t xml:space="preserve">What preclinical studies are recommended to validate the ranking for each chemistry?</w:t>
      </w:r>
    </w:p>
    <w:p>
      <w:pPr>
        <w:spacing w:after="100" w:line="360"/>
      </w:pPr>
      <w:r>
        <w:t xml:space="preserve">What is the regulatory pathway and IND requirements for each chemistry class?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 w:line="360"/>
      </w:pPr>
      <w:r>
        <w:t xml:space="preserve">Final ranking: [Rank 1] [Chemistry], [Rank 2] [Chemistry], [Rank 3] [Chemistry]</w:t>
      </w:r>
    </w:p>
    <w:p>
      <w:pPr>
        <w:spacing w:after="100" w:line="360"/>
      </w:pPr>
      <w:r>
        <w:t xml:space="preserve">Executive summary of rationale for top-ranked chemistry</w:t>
      </w:r>
    </w:p>
    <w:p>
      <w:pPr>
        <w:spacing w:after="100" w:line="360"/>
      </w:pPr>
      <w:r>
        <w:t xml:space="preserve">Confidence level (high/medium/low) with justification</w:t>
      </w:r>
    </w:p>
    <w:p>
      <w:pPr>
        <w:spacing w:after="100" w:line="360"/>
      </w:pPr>
      <w:r>
        <w:t xml:space="preserve">Critical data gaps and recommended preclinical validation experiments</w:t>
      </w:r>
    </w:p>
    <w:p>
      <w:pPr>
        <w:spacing w:after="100" w:line="360"/>
      </w:pPr>
      <w:r>
        <w:t xml:space="preserve">Regulatory pathway recommendation (IND timeline, Phase 1/2a trial design)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Executive recommendation document with ranking justification, confidence assessment, data gap analysis, and next-step recommendations.</w:t>
      </w:r>
    </w:p>
    <w:p>
      <w:pPr>
        <w:pStyle w:val="Heading2"/>
      </w:pPr>
      <w:r>
        <w:t xml:space="preserve">Tools &amp; Databases Summary</w:t>
      </w:r>
    </w:p>
    <w:p>
      <w:pPr>
        <w:spacing w:after="100" w:line="360"/>
      </w:pPr>
      <w:r>
        <w:t xml:space="preserve">Ensembl REST API</w:t>
      </w:r>
    </w:p>
    <w:p>
      <w:pPr>
        <w:spacing w:after="100" w:line="360"/>
      </w:pPr>
      <w:r>
        <w:t xml:space="preserve">NCBI RefSeq</w:t>
      </w:r>
    </w:p>
    <w:p>
      <w:pPr>
        <w:spacing w:after="100" w:line="360"/>
      </w:pPr>
      <w:r>
        <w:t xml:space="preserve">GTEx (Genotype-Tissue Expression)</w:t>
      </w:r>
    </w:p>
    <w:p>
      <w:pPr>
        <w:spacing w:after="100" w:line="360"/>
      </w:pPr>
      <w:r>
        <w:t xml:space="preserve">GENCODE</w:t>
      </w:r>
    </w:p>
    <w:p>
      <w:pPr>
        <w:spacing w:after="100" w:line="360"/>
      </w:pPr>
      <w:r>
        <w:t xml:space="preserve">UniProt</w:t>
      </w:r>
    </w:p>
    <w:p>
      <w:pPr>
        <w:spacing w:after="100" w:line="360"/>
      </w:pPr>
      <w:r>
        <w:t xml:space="preserve">OMIM (Online Mendelian Inheritance in Man)</w:t>
      </w:r>
    </w:p>
    <w:p>
      <w:pPr>
        <w:spacing w:after="100" w:line="360"/>
      </w:pPr>
      <w:r>
        <w:t xml:space="preserve">PubMed</w:t>
      </w:r>
    </w:p>
    <w:p>
      <w:pPr>
        <w:spacing w:after="100" w:line="360"/>
      </w:pPr>
      <w:r>
        <w:t xml:space="preserve">FDA DailyMed</w:t>
      </w:r>
    </w:p>
    <w:p>
      <w:pPr>
        <w:spacing w:after="100" w:line="360"/>
      </w:pPr>
      <w:r>
        <w:t xml:space="preserve">EMA Assessment Reports</w:t>
      </w:r>
    </w:p>
    <w:p>
      <w:pPr>
        <w:spacing w:after="100" w:line="360"/>
      </w:pPr>
      <w:r>
        <w:t xml:space="preserve">ChEMBL ASO Safety Database</w:t>
      </w:r>
    </w:p>
    <w:p>
      <w:pPr>
        <w:spacing w:after="100" w:line="360"/>
      </w:pPr>
      <w:r>
        <w:t xml:space="preserve">FAERS (FDA Adverse Event Reporting System)</w:t>
      </w:r>
    </w:p>
    <w:p>
      <w:pPr>
        <w:spacing w:after="100" w:line="360"/>
      </w:pPr>
      <w:r>
        <w:t xml:space="preserve">ClinicalTrials.gov</w:t>
      </w:r>
    </w:p>
    <w:p>
      <w:pPr>
        <w:spacing w:after="100" w:line="360"/>
      </w:pPr>
      <w:r>
        <w:t xml:space="preserve">Quiver ASO Chemistry Atlas</w:t>
      </w:r>
    </w:p>
    <w:p>
      <w:pPr>
        <w:spacing w:after="100" w:line="360"/>
      </w:pPr>
      <w:r>
        <w:t xml:space="preserve">Quiver CNS Tolerability Database</w:t>
      </w:r>
    </w:p>
    <w:p>
      <w:pPr>
        <w:spacing w:after="100" w:line="360"/>
      </w:pPr>
      <w:r>
        <w:t xml:space="preserve">Quiver EP Toxicity Atlas</w:t>
      </w:r>
    </w:p>
    <w:p>
      <w:pPr>
        <w:spacing w:after="100" w:line="360"/>
      </w:pPr>
      <w:r>
        <w:t xml:space="preserve">CpG Motif Scanner</w:t>
      </w:r>
    </w:p>
    <w:p>
      <w:pPr>
        <w:spacing w:after="100" w:line="360"/>
      </w:pPr>
      <w:r>
        <w:t xml:space="preserve">BLAST (Off-Target Analysis)</w:t>
      </w:r>
    </w:p>
    <w:p>
      <w:pPr>
        <w:spacing w:after="100" w:line="360"/>
      </w:pPr>
      <w:r>
        <w:t xml:space="preserve">Sapphire Chemistry Ranking Engine</w:t>
      </w:r>
    </w:p>
    <w:p>
      <w:pPr>
        <w:spacing w:after="100" w:line="360"/>
      </w:pPr>
      <w:r>
        <w:t xml:space="preserve">Sapphire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2026-02-19T01:57:10.363Z</dcterms:created>
  <dcterms:modified xsi:type="dcterms:W3CDTF">2026-02-19T01:57:10.363Z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