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64"/>
        </w:rPr>
        <w:t>Sapphire Pipeline Workflow</w:t>
      </w:r>
    </w:p>
    <w:p>
      <w:pPr>
        <w:pStyle w:val="Heading2"/>
      </w:pPr>
      <w:r>
        <w:rPr>
          <w:rFonts w:ascii="Arial" w:hAnsi="Arial"/>
          <w:b/>
          <w:sz w:val="56"/>
        </w:rPr>
        <w:t>Pipeline 026: Intrathecal ASO Optimization for Reduced Immune Activation</w:t>
      </w:r>
    </w:p>
    <w:p>
      <w:r>
        <w:rPr>
          <w:rFonts w:ascii="Arial" w:hAnsi="Arial"/>
          <w:sz w:val="48"/>
        </w:rPr>
        <w:t>For gene Y, generate ASO sequences optimized for intrathecal delivery with low innate immune activation risk.</w:t>
      </w:r>
    </w:p>
    <w:p>
      <w:pPr>
        <w:pStyle w:val="Heading2"/>
      </w:pPr>
      <w:r>
        <w:rPr>
          <w:rFonts w:ascii="Arial" w:hAnsi="Arial"/>
          <w:b/>
          <w:sz w:val="56"/>
        </w:rPr>
        <w:t>Pipeline Overview</w:t>
      </w:r>
    </w:p>
    <w:p>
      <w:r>
        <w:rPr>
          <w:rFonts w:ascii="Arial" w:hAnsi="Arial"/>
          <w:sz w:val="48"/>
        </w:rPr>
        <w:t>This pipeline designs antisense oligonucleotides specifically optimized for direct intrathecal (cerebrospinal fluid) administration, prioritizing low immunogenicity and enhanced CNS accessibility. The workflow integrates sequence design, chemical modification strategies, and Quiver's electrophysiology atlas to predict neuronal tolerability and minimize innate immune responses.</w:t>
      </w:r>
    </w:p>
    <w:p>
      <w:r>
        <w:rPr>
          <w:rFonts w:ascii="Arial" w:hAnsi="Arial"/>
          <w:sz w:val="48"/>
        </w:rPr>
        <w:t>Intrathecal ASO delivery bypasses the blood-brain barrier, enabling direct CNS targeting but introducing unique immunological challenges. The pipeline systematically addresses innate immune triggers (CpG motifs, TLR activation, pro-inflammatory cytokine induction) to enable safe, well-tolerated intrathecal therapeutics.</w:t>
      </w:r>
    </w:p>
    <w:p>
      <w:pPr>
        <w:pStyle w:val="Heading2"/>
      </w:pPr>
      <w:r>
        <w:rPr>
          <w:rFonts w:ascii="Arial" w:hAnsi="Arial"/>
          <w:b/>
          <w:sz w:val="56"/>
        </w:rPr>
        <w:t>Stage 1: Gene Y Target Identification and Sequence Generation</w:t>
      </w:r>
    </w:p>
    <w:p>
      <w:r>
        <w:rPr>
          <w:rFonts w:ascii="Arial" w:hAnsi="Arial"/>
          <w:b/>
          <w:sz w:val="48"/>
        </w:rPr>
        <w:t xml:space="preserve">Purpose: </w:t>
      </w:r>
    </w:p>
    <w:p>
      <w:pPr>
        <w:pStyle w:val="ListBullet"/>
      </w:pPr>
      <w:r>
        <w:rPr>
          <w:rFonts w:ascii="Arial" w:hAnsi="Arial"/>
          <w:sz w:val="48"/>
        </w:rPr>
        <w:t>Identify optimal target regions on gene Y mRNA and design initial ASO candidates with minimal immune activation potential for intrathecal delivery.</w:t>
      </w:r>
    </w:p>
    <w:p>
      <w:r>
        <w:rPr>
          <w:rFonts w:ascii="Arial" w:hAnsi="Arial"/>
          <w:b/>
          <w:sz w:val="48"/>
        </w:rPr>
        <w:t xml:space="preserve">Inputs: </w:t>
      </w:r>
    </w:p>
    <w:p>
      <w:pPr>
        <w:pStyle w:val="ListBullet"/>
      </w:pPr>
      <w:r>
        <w:rPr>
          <w:rFonts w:ascii="Arial" w:hAnsi="Arial"/>
          <w:sz w:val="48"/>
        </w:rPr>
        <w:t>Gene Y genomic sequence and multiple transcript isoforms</w:t>
      </w:r>
    </w:p>
    <w:p>
      <w:pPr>
        <w:pStyle w:val="ListBullet"/>
      </w:pPr>
      <w:r>
        <w:rPr>
          <w:rFonts w:ascii="Arial" w:hAnsi="Arial"/>
          <w:sz w:val="48"/>
        </w:rPr>
        <w:t>CpG dinucleotide frequency databases</w:t>
      </w:r>
    </w:p>
    <w:p>
      <w:pPr>
        <w:pStyle w:val="ListBullet"/>
      </w:pPr>
      <w:r>
        <w:rPr>
          <w:rFonts w:ascii="Arial" w:hAnsi="Arial"/>
          <w:sz w:val="48"/>
        </w:rPr>
        <w:t>Quiver electrophysiology atlas phenotypes</w:t>
      </w:r>
    </w:p>
    <w:p>
      <w:pPr>
        <w:pStyle w:val="ListBullet"/>
      </w:pPr>
      <w:r>
        <w:rPr>
          <w:rFonts w:ascii="Arial" w:hAnsi="Arial"/>
          <w:sz w:val="48"/>
        </w:rPr>
        <w:t>TLR3/7/8 activation trigger database</w:t>
      </w:r>
    </w:p>
    <w:p>
      <w:pPr>
        <w:pStyle w:val="ListBullet"/>
      </w:pPr>
      <w:r>
        <w:rPr>
          <w:rFonts w:ascii="Arial" w:hAnsi="Arial"/>
          <w:sz w:val="48"/>
        </w:rPr>
        <w:t>Published intrathecal ASO sequence data</w:t>
      </w:r>
    </w:p>
    <w:p>
      <w:pPr>
        <w:pStyle w:val="ListBullet"/>
      </w:pPr>
      <w:r>
        <w:rPr>
          <w:rFonts w:ascii="Arial" w:hAnsi="Arial"/>
          <w:sz w:val="48"/>
        </w:rPr>
        <w:t>CSF-specific bioavailability considerations</w:t>
      </w:r>
    </w:p>
    <w:p>
      <w:r>
        <w:rPr>
          <w:rFonts w:ascii="Arial" w:hAnsi="Arial"/>
          <w:b/>
          <w:sz w:val="48"/>
        </w:rPr>
        <w:t xml:space="preserve">Tools &amp; Databases Called: </w:t>
      </w:r>
    </w:p>
    <w:p>
      <w:pPr>
        <w:pStyle w:val="ListBullet"/>
      </w:pPr>
      <w:r>
        <w:rPr>
          <w:rFonts w:ascii="Arial" w:hAnsi="Arial"/>
          <w:sz w:val="48"/>
        </w:rPr>
        <w:t>NCBI GenBank and Ensembl – Gene sequence retrieval</w:t>
      </w:r>
    </w:p>
    <w:p>
      <w:pPr>
        <w:pStyle w:val="ListBullet"/>
      </w:pPr>
      <w:r>
        <w:rPr>
          <w:rFonts w:ascii="Arial" w:hAnsi="Arial"/>
          <w:sz w:val="48"/>
        </w:rPr>
        <w:t>UCSC Genome Browser – Sequence annotation and visualization</w:t>
      </w:r>
    </w:p>
    <w:p>
      <w:pPr>
        <w:pStyle w:val="ListBullet"/>
      </w:pPr>
      <w:r>
        <w:rPr>
          <w:rFonts w:ascii="Arial" w:hAnsi="Arial"/>
          <w:sz w:val="48"/>
        </w:rPr>
        <w:t>CpG Island Finder – Immunogenic motif detection</w:t>
      </w:r>
    </w:p>
    <w:p>
      <w:pPr>
        <w:pStyle w:val="ListBullet"/>
      </w:pPr>
      <w:r>
        <w:rPr>
          <w:rFonts w:ascii="Arial" w:hAnsi="Arial"/>
          <w:sz w:val="48"/>
        </w:rPr>
        <w:t>TLR Response Database – TLR3/7/8 activation triggers</w:t>
      </w:r>
    </w:p>
    <w:p>
      <w:pPr>
        <w:pStyle w:val="ListBullet"/>
      </w:pPr>
      <w:r>
        <w:rPr>
          <w:rFonts w:ascii="Arial" w:hAnsi="Arial"/>
          <w:sz w:val="48"/>
        </w:rPr>
        <w:t>Quiver sequence design module (intrathecal optimization)</w:t>
      </w:r>
    </w:p>
    <w:p>
      <w:pPr>
        <w:pStyle w:val="ListBullet"/>
      </w:pPr>
      <w:r>
        <w:rPr>
          <w:rFonts w:ascii="Arial" w:hAnsi="Arial"/>
          <w:sz w:val="48"/>
        </w:rPr>
        <w:t>RNA secondary structure predictor (RNAfold, mfold)</w:t>
      </w:r>
    </w:p>
    <w:p>
      <w:pPr>
        <w:pStyle w:val="ListBullet"/>
      </w:pPr>
      <w:r>
        <w:rPr>
          <w:rFonts w:ascii="Arial" w:hAnsi="Arial"/>
          <w:sz w:val="48"/>
        </w:rPr>
        <w:t>ISS (Immunostimulatory Sequences) Database</w:t>
      </w:r>
    </w:p>
    <w:p>
      <w:r>
        <w:rPr>
          <w:rFonts w:ascii="Arial" w:hAnsi="Arial"/>
          <w:b/>
          <w:sz w:val="48"/>
        </w:rPr>
        <w:t xml:space="preserve">Exemplary Sub-Prompts: </w:t>
      </w:r>
    </w:p>
    <w:p>
      <w:pPr>
        <w:pStyle w:val="ListBullet"/>
      </w:pPr>
      <w:r>
        <w:rPr>
          <w:rFonts w:ascii="Arial" w:hAnsi="Arial"/>
          <w:sz w:val="48"/>
        </w:rPr>
        <w:t>Extract all transcript isoforms for gene Y and identify conserved target regions.</w:t>
      </w:r>
    </w:p>
    <w:p>
      <w:pPr>
        <w:pStyle w:val="ListBullet"/>
      </w:pPr>
      <w:r>
        <w:rPr>
          <w:rFonts w:ascii="Arial" w:hAnsi="Arial"/>
          <w:sz w:val="48"/>
        </w:rPr>
        <w:t>Score target regions for CpG dinucleotide content (immune activation risk).</w:t>
      </w:r>
    </w:p>
    <w:p>
      <w:pPr>
        <w:pStyle w:val="ListBullet"/>
      </w:pPr>
      <w:r>
        <w:rPr>
          <w:rFonts w:ascii="Arial" w:hAnsi="Arial"/>
          <w:sz w:val="48"/>
        </w:rPr>
        <w:t>Identify secondary structure-based accessibility for intrathecal delivery.</w:t>
      </w:r>
    </w:p>
    <w:p>
      <w:pPr>
        <w:pStyle w:val="ListBullet"/>
      </w:pPr>
      <w:r>
        <w:rPr>
          <w:rFonts w:ascii="Arial" w:hAnsi="Arial"/>
          <w:sz w:val="48"/>
        </w:rPr>
        <w:t>Flag potential TLR3/7/8 activation motifs in candidate sequences.</w:t>
      </w:r>
    </w:p>
    <w:p>
      <w:pPr>
        <w:pStyle w:val="ListBullet"/>
      </w:pPr>
      <w:r>
        <w:rPr>
          <w:rFonts w:ascii="Arial" w:hAnsi="Arial"/>
          <w:sz w:val="48"/>
        </w:rPr>
        <w:t>Generate initial sequences with predicted low immunogenicity.</w:t>
      </w:r>
    </w:p>
    <w:p>
      <w:r>
        <w:rPr>
          <w:rFonts w:ascii="Arial" w:hAnsi="Arial"/>
          <w:b/>
          <w:sz w:val="48"/>
        </w:rPr>
        <w:t xml:space="preserve">Expected Outputs: </w:t>
      </w:r>
    </w:p>
    <w:p>
      <w:pPr>
        <w:pStyle w:val="ListBullet"/>
      </w:pPr>
      <w:r>
        <w:rPr>
          <w:rFonts w:ascii="Arial" w:hAnsi="Arial"/>
          <w:sz w:val="48"/>
        </w:rPr>
        <w:t>List of 20+ candidate target regions ranked by low CpG content</w:t>
      </w:r>
    </w:p>
    <w:p>
      <w:pPr>
        <w:pStyle w:val="ListBullet"/>
      </w:pPr>
      <w:r>
        <w:rPr>
          <w:rFonts w:ascii="Arial" w:hAnsi="Arial"/>
          <w:sz w:val="48"/>
        </w:rPr>
        <w:t>Immunogenic motif maps for each region (CpG frequency, TLR triggers)</w:t>
      </w:r>
    </w:p>
    <w:p>
      <w:pPr>
        <w:pStyle w:val="ListBullet"/>
      </w:pPr>
      <w:r>
        <w:rPr>
          <w:rFonts w:ascii="Arial" w:hAnsi="Arial"/>
          <w:sz w:val="48"/>
        </w:rPr>
        <w:t>RNA secondary structure predictions highlighting accessibility</w:t>
      </w:r>
    </w:p>
    <w:p>
      <w:pPr>
        <w:pStyle w:val="ListBullet"/>
      </w:pPr>
      <w:r>
        <w:rPr>
          <w:rFonts w:ascii="Arial" w:hAnsi="Arial"/>
          <w:sz w:val="48"/>
        </w:rPr>
        <w:t>Initial 30+ ASO sequence candidates with immunogenicity scores</w:t>
      </w:r>
    </w:p>
    <w:p>
      <w:pPr>
        <w:pStyle w:val="ListBullet"/>
      </w:pPr>
      <w:r>
        <w:rPr>
          <w:rFonts w:ascii="Arial" w:hAnsi="Arial"/>
          <w:sz w:val="48"/>
        </w:rPr>
        <w:t>Predicted risk categories (Low, Medium, High immune activation)</w:t>
      </w:r>
    </w:p>
    <w:p>
      <w:r>
        <w:rPr>
          <w:rFonts w:ascii="Arial" w:hAnsi="Arial"/>
          <w:b/>
          <w:sz w:val="48"/>
        </w:rPr>
        <w:t xml:space="preserve">Format: </w:t>
      </w:r>
    </w:p>
    <w:p>
      <w:pPr>
        <w:pStyle w:val="ListBullet"/>
      </w:pPr>
      <w:r>
        <w:rPr>
          <w:rFonts w:ascii="Arial" w:hAnsi="Arial"/>
          <w:sz w:val="48"/>
        </w:rPr>
        <w:t>Sequence table with CpG content, TLR motif scores, secondary structure diagrams, and immune activation risk classifications.</w:t>
      </w:r>
    </w:p>
    <w:p>
      <w:pPr>
        <w:pStyle w:val="Heading2"/>
      </w:pPr>
      <w:r>
        <w:rPr>
          <w:rFonts w:ascii="Arial" w:hAnsi="Arial"/>
          <w:b/>
          <w:sz w:val="56"/>
        </w:rPr>
        <w:t>Stage 2: Immune Activation Prediction and Sequence Modification</w:t>
      </w:r>
    </w:p>
    <w:p>
      <w:r>
        <w:rPr>
          <w:rFonts w:ascii="Arial" w:hAnsi="Arial"/>
          <w:b/>
          <w:sz w:val="48"/>
        </w:rPr>
        <w:t xml:space="preserve">Purpose: </w:t>
      </w:r>
    </w:p>
    <w:p>
      <w:pPr>
        <w:pStyle w:val="ListBullet"/>
      </w:pPr>
      <w:r>
        <w:rPr>
          <w:rFonts w:ascii="Arial" w:hAnsi="Arial"/>
          <w:sz w:val="48"/>
        </w:rPr>
        <w:t>Systematically predict innate immune activation pathways and optimize sequences through structural modifications to minimize pro-inflammatory responses in the CNS environment.</w:t>
      </w:r>
    </w:p>
    <w:p>
      <w:r>
        <w:rPr>
          <w:rFonts w:ascii="Arial" w:hAnsi="Arial"/>
          <w:b/>
          <w:sz w:val="48"/>
        </w:rPr>
        <w:t xml:space="preserve">Inputs: </w:t>
      </w:r>
    </w:p>
    <w:p>
      <w:pPr>
        <w:pStyle w:val="ListBullet"/>
      </w:pPr>
      <w:r>
        <w:rPr>
          <w:rFonts w:ascii="Arial" w:hAnsi="Arial"/>
          <w:sz w:val="48"/>
        </w:rPr>
        <w:t>30+ ASO candidates from Stage 1</w:t>
      </w:r>
    </w:p>
    <w:p>
      <w:pPr>
        <w:pStyle w:val="ListBullet"/>
      </w:pPr>
      <w:r>
        <w:rPr>
          <w:rFonts w:ascii="Arial" w:hAnsi="Arial"/>
          <w:sz w:val="48"/>
        </w:rPr>
        <w:t>Innate immune activation mechanism literature</w:t>
      </w:r>
    </w:p>
    <w:p>
      <w:pPr>
        <w:pStyle w:val="ListBullet"/>
      </w:pPr>
      <w:r>
        <w:rPr>
          <w:rFonts w:ascii="Arial" w:hAnsi="Arial"/>
          <w:sz w:val="48"/>
        </w:rPr>
        <w:t>TLR3/7/8 pathway databases</w:t>
      </w:r>
    </w:p>
    <w:p>
      <w:pPr>
        <w:pStyle w:val="ListBullet"/>
      </w:pPr>
      <w:r>
        <w:rPr>
          <w:rFonts w:ascii="Arial" w:hAnsi="Arial"/>
          <w:sz w:val="48"/>
        </w:rPr>
        <w:t>Pro-inflammatory cytokine signatures (IL-1β, TNF-α, IL-6, IFN-β)</w:t>
      </w:r>
    </w:p>
    <w:p>
      <w:pPr>
        <w:pStyle w:val="ListBullet"/>
      </w:pPr>
      <w:r>
        <w:rPr>
          <w:rFonts w:ascii="Arial" w:hAnsi="Arial"/>
          <w:sz w:val="48"/>
        </w:rPr>
        <w:t>CNS-resident immune cell response profiles (microglia, astrocytes)</w:t>
      </w:r>
    </w:p>
    <w:p>
      <w:pPr>
        <w:pStyle w:val="ListBullet"/>
      </w:pPr>
      <w:r>
        <w:rPr>
          <w:rFonts w:ascii="Arial" w:hAnsi="Arial"/>
          <w:sz w:val="48"/>
        </w:rPr>
        <w:t>ASO chemistry modification effects on immunogenicity</w:t>
      </w:r>
    </w:p>
    <w:p>
      <w:r>
        <w:rPr>
          <w:rFonts w:ascii="Arial" w:hAnsi="Arial"/>
          <w:b/>
          <w:sz w:val="48"/>
        </w:rPr>
        <w:t xml:space="preserve">Tools &amp; Databases Called: </w:t>
      </w:r>
    </w:p>
    <w:p>
      <w:pPr>
        <w:pStyle w:val="ListBullet"/>
      </w:pPr>
      <w:r>
        <w:rPr>
          <w:rFonts w:ascii="Arial" w:hAnsi="Arial"/>
          <w:sz w:val="48"/>
        </w:rPr>
        <w:t>TLR signaling pathway database (KEGG, Reactome)</w:t>
      </w:r>
    </w:p>
    <w:p>
      <w:pPr>
        <w:pStyle w:val="ListBullet"/>
      </w:pPr>
      <w:r>
        <w:rPr>
          <w:rFonts w:ascii="Arial" w:hAnsi="Arial"/>
          <w:sz w:val="48"/>
        </w:rPr>
        <w:t>Immune response prediction engine (machine learning classifier)</w:t>
      </w:r>
    </w:p>
    <w:p>
      <w:pPr>
        <w:pStyle w:val="ListBullet"/>
      </w:pPr>
      <w:r>
        <w:rPr>
          <w:rFonts w:ascii="Arial" w:hAnsi="Arial"/>
          <w:sz w:val="48"/>
        </w:rPr>
        <w:t>CpG motif modification algorithm</w:t>
      </w:r>
    </w:p>
    <w:p>
      <w:pPr>
        <w:pStyle w:val="ListBullet"/>
      </w:pPr>
      <w:r>
        <w:rPr>
          <w:rFonts w:ascii="Arial" w:hAnsi="Arial"/>
          <w:sz w:val="48"/>
        </w:rPr>
        <w:t>Sequence design tool for immunogenicity minimization</w:t>
      </w:r>
    </w:p>
    <w:p>
      <w:pPr>
        <w:pStyle w:val="ListBullet"/>
      </w:pPr>
      <w:r>
        <w:rPr>
          <w:rFonts w:ascii="Arial" w:hAnsi="Arial"/>
          <w:sz w:val="48"/>
        </w:rPr>
        <w:t>Cytokine response predictor (IL-1β, TNF-α, IFN-β modeling)</w:t>
      </w:r>
    </w:p>
    <w:p>
      <w:pPr>
        <w:pStyle w:val="ListBullet"/>
      </w:pPr>
      <w:r>
        <w:rPr>
          <w:rFonts w:ascii="Arial" w:hAnsi="Arial"/>
          <w:sz w:val="48"/>
        </w:rPr>
        <w:t>Microglial activation database</w:t>
      </w:r>
    </w:p>
    <w:p>
      <w:pPr>
        <w:pStyle w:val="ListBullet"/>
      </w:pPr>
      <w:r>
        <w:rPr>
          <w:rFonts w:ascii="Arial" w:hAnsi="Arial"/>
          <w:sz w:val="48"/>
        </w:rPr>
        <w:t>Toll-like receptor ligand database</w:t>
      </w:r>
    </w:p>
    <w:p>
      <w:r>
        <w:rPr>
          <w:rFonts w:ascii="Arial" w:hAnsi="Arial"/>
          <w:b/>
          <w:sz w:val="48"/>
        </w:rPr>
        <w:t xml:space="preserve">Exemplary Sub-Prompts: </w:t>
      </w:r>
    </w:p>
    <w:p>
      <w:pPr>
        <w:pStyle w:val="ListBullet"/>
      </w:pPr>
      <w:r>
        <w:rPr>
          <w:rFonts w:ascii="Arial" w:hAnsi="Arial"/>
          <w:sz w:val="48"/>
        </w:rPr>
        <w:t>Map each ASO candidate to predicted TLR3/7/8 activation potential.</w:t>
      </w:r>
    </w:p>
    <w:p>
      <w:pPr>
        <w:pStyle w:val="ListBullet"/>
      </w:pPr>
      <w:r>
        <w:rPr>
          <w:rFonts w:ascii="Arial" w:hAnsi="Arial"/>
          <w:sz w:val="48"/>
        </w:rPr>
        <w:t>Identify and rank immunogenic CpG motifs in each sequence.</w:t>
      </w:r>
    </w:p>
    <w:p>
      <w:pPr>
        <w:pStyle w:val="ListBullet"/>
      </w:pPr>
      <w:r>
        <w:rPr>
          <w:rFonts w:ascii="Arial" w:hAnsi="Arial"/>
          <w:sz w:val="48"/>
        </w:rPr>
        <w:t>Design sequence modifications to eliminate or mask CpG content.</w:t>
      </w:r>
    </w:p>
    <w:p>
      <w:pPr>
        <w:pStyle w:val="ListBullet"/>
      </w:pPr>
      <w:r>
        <w:rPr>
          <w:rFonts w:ascii="Arial" w:hAnsi="Arial"/>
          <w:sz w:val="48"/>
        </w:rPr>
        <w:t>Predict secondary effects on microglial and astrocyte activation.</w:t>
      </w:r>
    </w:p>
    <w:p>
      <w:pPr>
        <w:pStyle w:val="ListBullet"/>
      </w:pPr>
      <w:r>
        <w:rPr>
          <w:rFonts w:ascii="Arial" w:hAnsi="Arial"/>
          <w:sz w:val="48"/>
        </w:rPr>
        <w:t>Score modified sequences for reduced immune activation.</w:t>
      </w:r>
    </w:p>
    <w:p>
      <w:r>
        <w:rPr>
          <w:rFonts w:ascii="Arial" w:hAnsi="Arial"/>
          <w:b/>
          <w:sz w:val="48"/>
        </w:rPr>
        <w:t xml:space="preserve">Expected Outputs: </w:t>
      </w:r>
    </w:p>
    <w:p>
      <w:pPr>
        <w:pStyle w:val="ListBullet"/>
      </w:pPr>
      <w:r>
        <w:rPr>
          <w:rFonts w:ascii="Arial" w:hAnsi="Arial"/>
          <w:sz w:val="48"/>
        </w:rPr>
        <w:t>Immune activation risk assessment for all 30 candidates</w:t>
      </w:r>
    </w:p>
    <w:p>
      <w:pPr>
        <w:pStyle w:val="ListBullet"/>
      </w:pPr>
      <w:r>
        <w:rPr>
          <w:rFonts w:ascii="Arial" w:hAnsi="Arial"/>
          <w:sz w:val="48"/>
        </w:rPr>
        <w:t>TLR activation scores (TLR3, TLR7, TLR8 pathways)</w:t>
      </w:r>
    </w:p>
    <w:p>
      <w:pPr>
        <w:pStyle w:val="ListBullet"/>
      </w:pPr>
      <w:r>
        <w:rPr>
          <w:rFonts w:ascii="Arial" w:hAnsi="Arial"/>
          <w:sz w:val="48"/>
        </w:rPr>
        <w:t>CpG content comparison (original vs. optimized sequences)</w:t>
      </w:r>
    </w:p>
    <w:p>
      <w:pPr>
        <w:pStyle w:val="ListBullet"/>
      </w:pPr>
      <w:r>
        <w:rPr>
          <w:rFonts w:ascii="Arial" w:hAnsi="Arial"/>
          <w:sz w:val="48"/>
        </w:rPr>
        <w:t>Modified sequences with reduced immunogenic potential</w:t>
      </w:r>
    </w:p>
    <w:p>
      <w:pPr>
        <w:pStyle w:val="ListBullet"/>
      </w:pPr>
      <w:r>
        <w:rPr>
          <w:rFonts w:ascii="Arial" w:hAnsi="Arial"/>
          <w:sz w:val="48"/>
        </w:rPr>
        <w:t>Predicted cytokine response profiles</w:t>
      </w:r>
    </w:p>
    <w:p>
      <w:pPr>
        <w:pStyle w:val="ListBullet"/>
      </w:pPr>
      <w:r>
        <w:rPr>
          <w:rFonts w:ascii="Arial" w:hAnsi="Arial"/>
          <w:sz w:val="48"/>
        </w:rPr>
        <w:t>Ranking of top 20 candidates by immune tolerance</w:t>
      </w:r>
    </w:p>
    <w:p>
      <w:r>
        <w:rPr>
          <w:rFonts w:ascii="Arial" w:hAnsi="Arial"/>
          <w:b/>
          <w:sz w:val="48"/>
        </w:rPr>
        <w:t xml:space="preserve">Format: </w:t>
      </w:r>
    </w:p>
    <w:p>
      <w:pPr>
        <w:pStyle w:val="ListBullet"/>
      </w:pPr>
      <w:r>
        <w:rPr>
          <w:rFonts w:ascii="Arial" w:hAnsi="Arial"/>
          <w:sz w:val="48"/>
        </w:rPr>
        <w:t>Immune activation scorecard; heatmaps of TLR trigger predictions; side-by-side sequence comparisons (original vs. optimized).</w:t>
      </w:r>
    </w:p>
    <w:p>
      <w:pPr>
        <w:pStyle w:val="Heading2"/>
      </w:pPr>
      <w:r>
        <w:rPr>
          <w:rFonts w:ascii="Arial" w:hAnsi="Arial"/>
          <w:b/>
          <w:sz w:val="56"/>
        </w:rPr>
        <w:t>Stage 3: Intrathecal Delivery Optimization and CSF Pharmacokinetics</w:t>
      </w:r>
    </w:p>
    <w:p>
      <w:r>
        <w:rPr>
          <w:rFonts w:ascii="Arial" w:hAnsi="Arial"/>
          <w:b/>
          <w:sz w:val="48"/>
        </w:rPr>
        <w:t xml:space="preserve">Purpose: </w:t>
      </w:r>
    </w:p>
    <w:p>
      <w:pPr>
        <w:pStyle w:val="ListBullet"/>
      </w:pPr>
      <w:r>
        <w:rPr>
          <w:rFonts w:ascii="Arial" w:hAnsi="Arial"/>
          <w:sz w:val="48"/>
        </w:rPr>
        <w:t>Optimize ASO physicochemical properties and delivery characteristics for intrathecal administration, predicting CSF clearance, spinal cord distribution, and brain penetration.</w:t>
      </w:r>
    </w:p>
    <w:p>
      <w:r>
        <w:rPr>
          <w:rFonts w:ascii="Arial" w:hAnsi="Arial"/>
          <w:b/>
          <w:sz w:val="48"/>
        </w:rPr>
        <w:t xml:space="preserve">Inputs: </w:t>
      </w:r>
    </w:p>
    <w:p>
      <w:pPr>
        <w:pStyle w:val="ListBullet"/>
      </w:pPr>
      <w:r>
        <w:rPr>
          <w:rFonts w:ascii="Arial" w:hAnsi="Arial"/>
          <w:sz w:val="48"/>
        </w:rPr>
        <w:t>Top 20 immune-optimized ASO sequences from Stage 2</w:t>
      </w:r>
    </w:p>
    <w:p>
      <w:pPr>
        <w:pStyle w:val="ListBullet"/>
      </w:pPr>
      <w:r>
        <w:rPr>
          <w:rFonts w:ascii="Arial" w:hAnsi="Arial"/>
          <w:sz w:val="48"/>
        </w:rPr>
        <w:t>Intrathecal ASO pharmacokinetic literature</w:t>
      </w:r>
    </w:p>
    <w:p>
      <w:pPr>
        <w:pStyle w:val="ListBullet"/>
      </w:pPr>
      <w:r>
        <w:rPr>
          <w:rFonts w:ascii="Arial" w:hAnsi="Arial"/>
          <w:sz w:val="48"/>
        </w:rPr>
        <w:t>CSF clearance rate data (species-specific)</w:t>
      </w:r>
    </w:p>
    <w:p>
      <w:pPr>
        <w:pStyle w:val="ListBullet"/>
      </w:pPr>
      <w:r>
        <w:rPr>
          <w:rFonts w:ascii="Arial" w:hAnsi="Arial"/>
          <w:sz w:val="48"/>
        </w:rPr>
        <w:t>Spinal cord and brain distribution models</w:t>
      </w:r>
    </w:p>
    <w:p>
      <w:pPr>
        <w:pStyle w:val="ListBullet"/>
      </w:pPr>
      <w:r>
        <w:rPr>
          <w:rFonts w:ascii="Arial" w:hAnsi="Arial"/>
          <w:sz w:val="48"/>
        </w:rPr>
        <w:t>Formulation requirements for intrathecal injection</w:t>
      </w:r>
    </w:p>
    <w:p>
      <w:pPr>
        <w:pStyle w:val="ListBullet"/>
      </w:pPr>
      <w:r>
        <w:rPr>
          <w:rFonts w:ascii="Arial" w:hAnsi="Arial"/>
          <w:sz w:val="48"/>
        </w:rPr>
        <w:t>ASO chemistry-dependent CSF half-life data</w:t>
      </w:r>
    </w:p>
    <w:p>
      <w:r>
        <w:rPr>
          <w:rFonts w:ascii="Arial" w:hAnsi="Arial"/>
          <w:b/>
          <w:sz w:val="48"/>
        </w:rPr>
        <w:t xml:space="preserve">Tools &amp; Databases Called: </w:t>
      </w:r>
    </w:p>
    <w:p>
      <w:pPr>
        <w:pStyle w:val="ListBullet"/>
      </w:pPr>
      <w:r>
        <w:rPr>
          <w:rFonts w:ascii="Arial" w:hAnsi="Arial"/>
          <w:sz w:val="48"/>
        </w:rPr>
        <w:t>CSF pharmacokinetics simulator</w:t>
      </w:r>
    </w:p>
    <w:p>
      <w:pPr>
        <w:pStyle w:val="ListBullet"/>
      </w:pPr>
      <w:r>
        <w:rPr>
          <w:rFonts w:ascii="Arial" w:hAnsi="Arial"/>
          <w:sz w:val="48"/>
        </w:rPr>
        <w:t>Intrathecal delivery modeling platform</w:t>
      </w:r>
    </w:p>
    <w:p>
      <w:pPr>
        <w:pStyle w:val="ListBullet"/>
      </w:pPr>
      <w:r>
        <w:rPr>
          <w:rFonts w:ascii="Arial" w:hAnsi="Arial"/>
          <w:sz w:val="48"/>
        </w:rPr>
        <w:t>Brain penetration prediction algorithm</w:t>
      </w:r>
    </w:p>
    <w:p>
      <w:pPr>
        <w:pStyle w:val="ListBullet"/>
      </w:pPr>
      <w:r>
        <w:rPr>
          <w:rFonts w:ascii="Arial" w:hAnsi="Arial"/>
          <w:sz w:val="48"/>
        </w:rPr>
        <w:t>Spinal cord distribution model</w:t>
      </w:r>
    </w:p>
    <w:p>
      <w:pPr>
        <w:pStyle w:val="ListBullet"/>
      </w:pPr>
      <w:r>
        <w:rPr>
          <w:rFonts w:ascii="Arial" w:hAnsi="Arial"/>
          <w:sz w:val="48"/>
        </w:rPr>
        <w:t>PBPK (physiologically-based PK) simulator</w:t>
      </w:r>
    </w:p>
    <w:p>
      <w:pPr>
        <w:pStyle w:val="ListBullet"/>
      </w:pPr>
      <w:r>
        <w:rPr>
          <w:rFonts w:ascii="Arial" w:hAnsi="Arial"/>
          <w:sz w:val="48"/>
        </w:rPr>
        <w:t>CSF clearance rate calculator</w:t>
      </w:r>
    </w:p>
    <w:p>
      <w:pPr>
        <w:pStyle w:val="ListBullet"/>
      </w:pPr>
      <w:r>
        <w:rPr>
          <w:rFonts w:ascii="Arial" w:hAnsi="Arial"/>
          <w:sz w:val="48"/>
        </w:rPr>
        <w:t>Formulation compatibility checker</w:t>
      </w:r>
    </w:p>
    <w:p>
      <w:r>
        <w:rPr>
          <w:rFonts w:ascii="Arial" w:hAnsi="Arial"/>
          <w:b/>
          <w:sz w:val="48"/>
        </w:rPr>
        <w:t xml:space="preserve">Exemplary Sub-Prompts: </w:t>
      </w:r>
    </w:p>
    <w:p>
      <w:pPr>
        <w:pStyle w:val="ListBullet"/>
      </w:pPr>
      <w:r>
        <w:rPr>
          <w:rFonts w:ascii="Arial" w:hAnsi="Arial"/>
          <w:sz w:val="48"/>
        </w:rPr>
        <w:t>Predict CSF half-life for each chemistry-modified ASO.</w:t>
      </w:r>
    </w:p>
    <w:p>
      <w:pPr>
        <w:pStyle w:val="ListBullet"/>
      </w:pPr>
      <w:r>
        <w:rPr>
          <w:rFonts w:ascii="Arial" w:hAnsi="Arial"/>
          <w:sz w:val="48"/>
        </w:rPr>
        <w:t>Model distribution patterns across spinal cord and brain regions.</w:t>
      </w:r>
    </w:p>
    <w:p>
      <w:pPr>
        <w:pStyle w:val="ListBullet"/>
      </w:pPr>
      <w:r>
        <w:rPr>
          <w:rFonts w:ascii="Arial" w:hAnsi="Arial"/>
          <w:sz w:val="48"/>
        </w:rPr>
        <w:t>Estimate target tissue concentration-time profiles.</w:t>
      </w:r>
    </w:p>
    <w:p>
      <w:pPr>
        <w:pStyle w:val="ListBullet"/>
      </w:pPr>
      <w:r>
        <w:rPr>
          <w:rFonts w:ascii="Arial" w:hAnsi="Arial"/>
          <w:sz w:val="48"/>
        </w:rPr>
        <w:t>Identify optimal intrathecal dose and dosing intervals.</w:t>
      </w:r>
    </w:p>
    <w:p>
      <w:pPr>
        <w:pStyle w:val="ListBullet"/>
      </w:pPr>
      <w:r>
        <w:rPr>
          <w:rFonts w:ascii="Arial" w:hAnsi="Arial"/>
          <w:sz w:val="48"/>
        </w:rPr>
        <w:t>Recommend formulation adjuncts for stability and distribution.</w:t>
      </w:r>
    </w:p>
    <w:p>
      <w:r>
        <w:rPr>
          <w:rFonts w:ascii="Arial" w:hAnsi="Arial"/>
          <w:b/>
          <w:sz w:val="48"/>
        </w:rPr>
        <w:t xml:space="preserve">Expected Outputs: </w:t>
      </w:r>
    </w:p>
    <w:p>
      <w:pPr>
        <w:pStyle w:val="ListBullet"/>
      </w:pPr>
      <w:r>
        <w:rPr>
          <w:rFonts w:ascii="Arial" w:hAnsi="Arial"/>
          <w:sz w:val="48"/>
        </w:rPr>
        <w:t>CSF pharmacokinetic profiles for all 20 candidates</w:t>
      </w:r>
    </w:p>
    <w:p>
      <w:pPr>
        <w:pStyle w:val="ListBullet"/>
      </w:pPr>
      <w:r>
        <w:rPr>
          <w:rFonts w:ascii="Arial" w:hAnsi="Arial"/>
          <w:sz w:val="48"/>
        </w:rPr>
        <w:t>Predicted spinal cord and brain distribution heatmaps</w:t>
      </w:r>
    </w:p>
    <w:p>
      <w:pPr>
        <w:pStyle w:val="ListBullet"/>
      </w:pPr>
      <w:r>
        <w:rPr>
          <w:rFonts w:ascii="Arial" w:hAnsi="Arial"/>
          <w:sz w:val="48"/>
        </w:rPr>
        <w:t>CSF half-life estimates with confidence intervals</w:t>
      </w:r>
    </w:p>
    <w:p>
      <w:pPr>
        <w:pStyle w:val="ListBullet"/>
      </w:pPr>
      <w:r>
        <w:rPr>
          <w:rFonts w:ascii="Arial" w:hAnsi="Arial"/>
          <w:sz w:val="48"/>
        </w:rPr>
        <w:t>Dose-exposure relationship models for optimal dosing</w:t>
      </w:r>
    </w:p>
    <w:p>
      <w:pPr>
        <w:pStyle w:val="ListBullet"/>
      </w:pPr>
      <w:r>
        <w:rPr>
          <w:rFonts w:ascii="Arial" w:hAnsi="Arial"/>
          <w:sz w:val="48"/>
        </w:rPr>
        <w:t>Formulation recommendations (buffers, osmolarity, pH)</w:t>
      </w:r>
    </w:p>
    <w:p>
      <w:pPr>
        <w:pStyle w:val="ListBullet"/>
      </w:pPr>
      <w:r>
        <w:rPr>
          <w:rFonts w:ascii="Arial" w:hAnsi="Arial"/>
          <w:sz w:val="48"/>
        </w:rPr>
        <w:t>Delivery window assessment (timing of maximum target exposure)</w:t>
      </w:r>
    </w:p>
    <w:p>
      <w:r>
        <w:rPr>
          <w:rFonts w:ascii="Arial" w:hAnsi="Arial"/>
          <w:b/>
          <w:sz w:val="48"/>
        </w:rPr>
        <w:t xml:space="preserve">Format: </w:t>
      </w:r>
    </w:p>
    <w:p>
      <w:pPr>
        <w:pStyle w:val="ListBullet"/>
      </w:pPr>
      <w:r>
        <w:rPr>
          <w:rFonts w:ascii="Arial" w:hAnsi="Arial"/>
          <w:sz w:val="48"/>
        </w:rPr>
        <w:t>Time-concentration curves for CSF and target tissues; distribution heatmaps; PK parameter summary table with dosing recommendations.</w:t>
      </w:r>
    </w:p>
    <w:p>
      <w:pPr>
        <w:pStyle w:val="Heading2"/>
      </w:pPr>
      <w:r>
        <w:rPr>
          <w:rFonts w:ascii="Arial" w:hAnsi="Arial"/>
          <w:b/>
          <w:sz w:val="56"/>
        </w:rPr>
        <w:t>Stage 4: Neuronal Tolerability Assessment Using Quiver EP Atlas</w:t>
      </w:r>
    </w:p>
    <w:p>
      <w:r>
        <w:rPr>
          <w:rFonts w:ascii="Arial" w:hAnsi="Arial"/>
          <w:b/>
          <w:sz w:val="48"/>
        </w:rPr>
        <w:t xml:space="preserve">Purpose: </w:t>
      </w:r>
    </w:p>
    <w:p>
      <w:pPr>
        <w:pStyle w:val="ListBullet"/>
      </w:pPr>
      <w:r>
        <w:rPr>
          <w:rFonts w:ascii="Arial" w:hAnsi="Arial"/>
          <w:sz w:val="48"/>
        </w:rPr>
        <w:t>Leverage Quiver's 18,000 gene perturbation atlas and 500+ neuronal features to predict functional tolerability in CNS neurons exposed to optimized intrathecal ASO sequences.</w:t>
      </w:r>
    </w:p>
    <w:p>
      <w:r>
        <w:rPr>
          <w:rFonts w:ascii="Arial" w:hAnsi="Arial"/>
          <w:b/>
          <w:sz w:val="48"/>
        </w:rPr>
        <w:t xml:space="preserve">Inputs: </w:t>
      </w:r>
    </w:p>
    <w:p>
      <w:pPr>
        <w:pStyle w:val="ListBullet"/>
      </w:pPr>
      <w:r>
        <w:rPr>
          <w:rFonts w:ascii="Arial" w:hAnsi="Arial"/>
          <w:sz w:val="48"/>
        </w:rPr>
        <w:t>Top 15 intrathecal-optimized ASO sequences from Stage 3</w:t>
      </w:r>
    </w:p>
    <w:p>
      <w:pPr>
        <w:pStyle w:val="ListBullet"/>
      </w:pPr>
      <w:r>
        <w:rPr>
          <w:rFonts w:ascii="Arial" w:hAnsi="Arial"/>
          <w:sz w:val="48"/>
        </w:rPr>
        <w:t>Quiver EP CRISPR atlas (18,000 perturbations, 500+ features)</w:t>
      </w:r>
    </w:p>
    <w:p>
      <w:pPr>
        <w:pStyle w:val="ListBullet"/>
      </w:pPr>
      <w:r>
        <w:rPr>
          <w:rFonts w:ascii="Arial" w:hAnsi="Arial"/>
          <w:sz w:val="48"/>
        </w:rPr>
        <w:t>Gene Y loss-of-function expression signatures</w:t>
      </w:r>
    </w:p>
    <w:p>
      <w:pPr>
        <w:pStyle w:val="ListBullet"/>
      </w:pPr>
      <w:r>
        <w:rPr>
          <w:rFonts w:ascii="Arial" w:hAnsi="Arial"/>
          <w:sz w:val="48"/>
        </w:rPr>
        <w:t>Neuronal electrophysiology phenotypes</w:t>
      </w:r>
    </w:p>
    <w:p>
      <w:pPr>
        <w:pStyle w:val="ListBullet"/>
      </w:pPr>
      <w:r>
        <w:rPr>
          <w:rFonts w:ascii="Arial" w:hAnsi="Arial"/>
          <w:sz w:val="48"/>
        </w:rPr>
        <w:t>Known ASO neuronal toxicity mechanisms</w:t>
      </w:r>
    </w:p>
    <w:p>
      <w:pPr>
        <w:pStyle w:val="ListBullet"/>
      </w:pPr>
      <w:r>
        <w:rPr>
          <w:rFonts w:ascii="Arial" w:hAnsi="Arial"/>
          <w:sz w:val="48"/>
        </w:rPr>
        <w:t>CSF-derived immune cell response patterns</w:t>
      </w:r>
    </w:p>
    <w:p>
      <w:r>
        <w:rPr>
          <w:rFonts w:ascii="Arial" w:hAnsi="Arial"/>
          <w:b/>
          <w:sz w:val="48"/>
        </w:rPr>
        <w:t xml:space="preserve">Tools &amp; Databases Called: </w:t>
      </w:r>
    </w:p>
    <w:p>
      <w:pPr>
        <w:pStyle w:val="ListBullet"/>
      </w:pPr>
      <w:r>
        <w:rPr>
          <w:rFonts w:ascii="Arial" w:hAnsi="Arial"/>
          <w:sz w:val="48"/>
        </w:rPr>
        <w:t>Quiver EP atlas core database</w:t>
      </w:r>
    </w:p>
    <w:p>
      <w:pPr>
        <w:pStyle w:val="ListBullet"/>
      </w:pPr>
      <w:r>
        <w:rPr>
          <w:rFonts w:ascii="Arial" w:hAnsi="Arial"/>
          <w:sz w:val="48"/>
        </w:rPr>
        <w:t>Gene Y signature extraction module</w:t>
      </w:r>
    </w:p>
    <w:p>
      <w:pPr>
        <w:pStyle w:val="ListBullet"/>
      </w:pPr>
      <w:r>
        <w:rPr>
          <w:rFonts w:ascii="Arial" w:hAnsi="Arial"/>
          <w:sz w:val="48"/>
        </w:rPr>
        <w:t>Neuronal phenotype prediction engine (500+ features)</w:t>
      </w:r>
    </w:p>
    <w:p>
      <w:pPr>
        <w:pStyle w:val="ListBullet"/>
      </w:pPr>
      <w:r>
        <w:rPr>
          <w:rFonts w:ascii="Arial" w:hAnsi="Arial"/>
          <w:sz w:val="48"/>
        </w:rPr>
        <w:t>Electrophysiology analyzer (action potentials, synaptic transmission)</w:t>
      </w:r>
    </w:p>
    <w:p>
      <w:pPr>
        <w:pStyle w:val="ListBullet"/>
      </w:pPr>
      <w:r>
        <w:rPr>
          <w:rFonts w:ascii="Arial" w:hAnsi="Arial"/>
          <w:sz w:val="48"/>
        </w:rPr>
        <w:t>Toxicity classifier (off-target knockdown effects)</w:t>
      </w:r>
    </w:p>
    <w:p>
      <w:pPr>
        <w:pStyle w:val="ListBullet"/>
      </w:pPr>
      <w:r>
        <w:rPr>
          <w:rFonts w:ascii="Arial" w:hAnsi="Arial"/>
          <w:sz w:val="48"/>
        </w:rPr>
        <w:t>Immune cell infiltration predictor</w:t>
      </w:r>
    </w:p>
    <w:p>
      <w:pPr>
        <w:pStyle w:val="ListBullet"/>
      </w:pPr>
      <w:r>
        <w:rPr>
          <w:rFonts w:ascii="Arial" w:hAnsi="Arial"/>
          <w:sz w:val="48"/>
        </w:rPr>
        <w:t>Functional outcome correlator</w:t>
      </w:r>
    </w:p>
    <w:p>
      <w:r>
        <w:rPr>
          <w:rFonts w:ascii="Arial" w:hAnsi="Arial"/>
          <w:b/>
          <w:sz w:val="48"/>
        </w:rPr>
        <w:t xml:space="preserve">Exemplary Sub-Prompts: </w:t>
      </w:r>
    </w:p>
    <w:p>
      <w:pPr>
        <w:pStyle w:val="ListBullet"/>
      </w:pPr>
      <w:r>
        <w:rPr>
          <w:rFonts w:ascii="Arial" w:hAnsi="Arial"/>
          <w:sz w:val="48"/>
        </w:rPr>
        <w:t>Map each ASO to predicted on-target gene Y knockdown phenotypes.</w:t>
      </w:r>
    </w:p>
    <w:p>
      <w:pPr>
        <w:pStyle w:val="ListBullet"/>
      </w:pPr>
      <w:r>
        <w:rPr>
          <w:rFonts w:ascii="Arial" w:hAnsi="Arial"/>
          <w:sz w:val="48"/>
        </w:rPr>
        <w:t>Identify potential off-target effects using atlas correlation data.</w:t>
      </w:r>
    </w:p>
    <w:p>
      <w:pPr>
        <w:pStyle w:val="ListBullet"/>
      </w:pPr>
      <w:r>
        <w:rPr>
          <w:rFonts w:ascii="Arial" w:hAnsi="Arial"/>
          <w:sz w:val="48"/>
        </w:rPr>
        <w:t>Predict neuronal electrophysiological changes (excitability, firing patterns).</w:t>
      </w:r>
    </w:p>
    <w:p>
      <w:pPr>
        <w:pStyle w:val="ListBullet"/>
      </w:pPr>
      <w:r>
        <w:rPr>
          <w:rFonts w:ascii="Arial" w:hAnsi="Arial"/>
          <w:sz w:val="48"/>
        </w:rPr>
        <w:t>Assess risk of adverse functional neuronal outcomes.</w:t>
      </w:r>
    </w:p>
    <w:p>
      <w:pPr>
        <w:pStyle w:val="ListBullet"/>
      </w:pPr>
      <w:r>
        <w:rPr>
          <w:rFonts w:ascii="Arial" w:hAnsi="Arial"/>
          <w:sz w:val="48"/>
        </w:rPr>
        <w:t>Rank candidates by predicted neuronal safety profile.</w:t>
      </w:r>
    </w:p>
    <w:p>
      <w:r>
        <w:rPr>
          <w:rFonts w:ascii="Arial" w:hAnsi="Arial"/>
          <w:b/>
          <w:sz w:val="48"/>
        </w:rPr>
        <w:t xml:space="preserve">Expected Outputs: </w:t>
      </w:r>
    </w:p>
    <w:p>
      <w:pPr>
        <w:pStyle w:val="ListBullet"/>
      </w:pPr>
      <w:r>
        <w:rPr>
          <w:rFonts w:ascii="Arial" w:hAnsi="Arial"/>
          <w:sz w:val="48"/>
        </w:rPr>
        <w:t>On-target knockdown phenotype predictions (efficacy verification)</w:t>
      </w:r>
    </w:p>
    <w:p>
      <w:pPr>
        <w:pStyle w:val="ListBullet"/>
      </w:pPr>
      <w:r>
        <w:rPr>
          <w:rFonts w:ascii="Arial" w:hAnsi="Arial"/>
          <w:sz w:val="48"/>
        </w:rPr>
        <w:t>Off-target effect assessment using atlas data</w:t>
      </w:r>
    </w:p>
    <w:p>
      <w:pPr>
        <w:pStyle w:val="ListBullet"/>
      </w:pPr>
      <w:r>
        <w:rPr>
          <w:rFonts w:ascii="Arial" w:hAnsi="Arial"/>
          <w:sz w:val="48"/>
        </w:rPr>
        <w:t>Neuronal electrophysiology impact predictions</w:t>
      </w:r>
    </w:p>
    <w:p>
      <w:pPr>
        <w:pStyle w:val="ListBullet"/>
      </w:pPr>
      <w:r>
        <w:rPr>
          <w:rFonts w:ascii="Arial" w:hAnsi="Arial"/>
          <w:sz w:val="48"/>
        </w:rPr>
        <w:t>Safety profile scoring for all 15 candidates</w:t>
      </w:r>
    </w:p>
    <w:p>
      <w:pPr>
        <w:pStyle w:val="ListBullet"/>
      </w:pPr>
      <w:r>
        <w:rPr>
          <w:rFonts w:ascii="Arial" w:hAnsi="Arial"/>
          <w:sz w:val="48"/>
        </w:rPr>
        <w:t>Functional outcome rankings</w:t>
      </w:r>
    </w:p>
    <w:p>
      <w:pPr>
        <w:pStyle w:val="ListBullet"/>
      </w:pPr>
      <w:r>
        <w:rPr>
          <w:rFonts w:ascii="Arial" w:hAnsi="Arial"/>
          <w:sz w:val="48"/>
        </w:rPr>
        <w:t>Recommended candidates for preclinical advancement</w:t>
      </w:r>
    </w:p>
    <w:p>
      <w:r>
        <w:rPr>
          <w:rFonts w:ascii="Arial" w:hAnsi="Arial"/>
          <w:b/>
          <w:sz w:val="48"/>
        </w:rPr>
        <w:t xml:space="preserve">Format: </w:t>
      </w:r>
    </w:p>
    <w:p>
      <w:pPr>
        <w:pStyle w:val="ListBullet"/>
      </w:pPr>
      <w:r>
        <w:rPr>
          <w:rFonts w:ascii="Arial" w:hAnsi="Arial"/>
          <w:sz w:val="48"/>
        </w:rPr>
        <w:t>Phenotype prediction heatmaps; electrophysiology impact summaries; safety scorecard for each candidate; ranking table.</w:t>
      </w:r>
    </w:p>
    <w:p>
      <w:pPr>
        <w:pStyle w:val="Heading2"/>
      </w:pPr>
      <w:r>
        <w:rPr>
          <w:rFonts w:ascii="Arial" w:hAnsi="Arial"/>
          <w:b/>
          <w:sz w:val="56"/>
        </w:rPr>
        <w:t>Stage 5: Integrated Immune-Efficacy-Safety Analysis and Lead Selection</w:t>
      </w:r>
    </w:p>
    <w:p>
      <w:r>
        <w:rPr>
          <w:rFonts w:ascii="Arial" w:hAnsi="Arial"/>
          <w:b/>
          <w:sz w:val="48"/>
        </w:rPr>
        <w:t xml:space="preserve">Purpose: </w:t>
      </w:r>
    </w:p>
    <w:p>
      <w:pPr>
        <w:pStyle w:val="ListBullet"/>
      </w:pPr>
      <w:r>
        <w:rPr>
          <w:rFonts w:ascii="Arial" w:hAnsi="Arial"/>
          <w:sz w:val="48"/>
        </w:rPr>
        <w:t>Synthesize immune activation, pharmacokinetic, and neuronal safety data to create comprehensive tolerability profiles and select top intrathecal ASO candidates.</w:t>
      </w:r>
    </w:p>
    <w:p>
      <w:r>
        <w:rPr>
          <w:rFonts w:ascii="Arial" w:hAnsi="Arial"/>
          <w:b/>
          <w:sz w:val="48"/>
        </w:rPr>
        <w:t xml:space="preserve">Inputs: </w:t>
      </w:r>
    </w:p>
    <w:p>
      <w:pPr>
        <w:pStyle w:val="ListBullet"/>
      </w:pPr>
      <w:r>
        <w:rPr>
          <w:rFonts w:ascii="Arial" w:hAnsi="Arial"/>
          <w:sz w:val="48"/>
        </w:rPr>
        <w:t>Immune activation predictions from Stage 2</w:t>
      </w:r>
    </w:p>
    <w:p>
      <w:pPr>
        <w:pStyle w:val="ListBullet"/>
      </w:pPr>
      <w:r>
        <w:rPr>
          <w:rFonts w:ascii="Arial" w:hAnsi="Arial"/>
          <w:sz w:val="48"/>
        </w:rPr>
        <w:t>CSF PK profiles from Stage 3</w:t>
      </w:r>
    </w:p>
    <w:p>
      <w:pPr>
        <w:pStyle w:val="ListBullet"/>
      </w:pPr>
      <w:r>
        <w:rPr>
          <w:rFonts w:ascii="Arial" w:hAnsi="Arial"/>
          <w:sz w:val="48"/>
        </w:rPr>
        <w:t>Neuronal tolerability assessments from Stage 4</w:t>
      </w:r>
    </w:p>
    <w:p>
      <w:pPr>
        <w:pStyle w:val="ListBullet"/>
      </w:pPr>
      <w:r>
        <w:rPr>
          <w:rFonts w:ascii="Arial" w:hAnsi="Arial"/>
          <w:sz w:val="48"/>
        </w:rPr>
        <w:t>Chemistry optimization data</w:t>
      </w:r>
    </w:p>
    <w:p>
      <w:pPr>
        <w:pStyle w:val="ListBullet"/>
      </w:pPr>
      <w:r>
        <w:rPr>
          <w:rFonts w:ascii="Arial" w:hAnsi="Arial"/>
          <w:sz w:val="48"/>
        </w:rPr>
        <w:t>Project-specific decision criteria and risk tolerance</w:t>
      </w:r>
    </w:p>
    <w:p>
      <w:r>
        <w:rPr>
          <w:rFonts w:ascii="Arial" w:hAnsi="Arial"/>
          <w:b/>
          <w:sz w:val="48"/>
        </w:rPr>
        <w:t xml:space="preserve">Tools &amp; Databases Called: </w:t>
      </w:r>
    </w:p>
    <w:p>
      <w:pPr>
        <w:pStyle w:val="ListBullet"/>
      </w:pPr>
      <w:r>
        <w:rPr>
          <w:rFonts w:ascii="Arial" w:hAnsi="Arial"/>
          <w:sz w:val="48"/>
        </w:rPr>
        <w:t>Multi-criteria decision analysis (MCDA) platform</w:t>
      </w:r>
    </w:p>
    <w:p>
      <w:pPr>
        <w:pStyle w:val="ListBullet"/>
      </w:pPr>
      <w:r>
        <w:rPr>
          <w:rFonts w:ascii="Arial" w:hAnsi="Arial"/>
          <w:sz w:val="48"/>
        </w:rPr>
        <w:t>Integrated safety scoring module</w:t>
      </w:r>
    </w:p>
    <w:p>
      <w:pPr>
        <w:pStyle w:val="ListBullet"/>
      </w:pPr>
      <w:r>
        <w:rPr>
          <w:rFonts w:ascii="Arial" w:hAnsi="Arial"/>
          <w:sz w:val="48"/>
        </w:rPr>
        <w:t>Risk-benefit analysis calculator</w:t>
      </w:r>
    </w:p>
    <w:p>
      <w:pPr>
        <w:pStyle w:val="ListBullet"/>
      </w:pPr>
      <w:r>
        <w:rPr>
          <w:rFonts w:ascii="Arial" w:hAnsi="Arial"/>
          <w:sz w:val="48"/>
        </w:rPr>
        <w:t>Sensitivity analysis tool</w:t>
      </w:r>
    </w:p>
    <w:p>
      <w:pPr>
        <w:pStyle w:val="ListBullet"/>
      </w:pPr>
      <w:r>
        <w:rPr>
          <w:rFonts w:ascii="Arial" w:hAnsi="Arial"/>
          <w:sz w:val="48"/>
        </w:rPr>
        <w:t>Comparative benchmarking engine (vs. published intrathecal ASOs)</w:t>
      </w:r>
    </w:p>
    <w:p>
      <w:pPr>
        <w:pStyle w:val="ListBullet"/>
      </w:pPr>
      <w:r>
        <w:rPr>
          <w:rFonts w:ascii="Arial" w:hAnsi="Arial"/>
          <w:sz w:val="48"/>
        </w:rPr>
        <w:t>Portfolio optimization algorithm</w:t>
      </w:r>
    </w:p>
    <w:p>
      <w:r>
        <w:rPr>
          <w:rFonts w:ascii="Arial" w:hAnsi="Arial"/>
          <w:b/>
          <w:sz w:val="48"/>
        </w:rPr>
        <w:t xml:space="preserve">Exemplary Sub-Prompts: </w:t>
      </w:r>
    </w:p>
    <w:p>
      <w:pPr>
        <w:pStyle w:val="ListBullet"/>
      </w:pPr>
      <w:r>
        <w:rPr>
          <w:rFonts w:ascii="Arial" w:hAnsi="Arial"/>
          <w:sz w:val="48"/>
        </w:rPr>
        <w:t>Weight decision criteria: immune activation, CNS penetration, neuronal safety, synthesis feasibility.</w:t>
      </w:r>
    </w:p>
    <w:p>
      <w:pPr>
        <w:pStyle w:val="ListBullet"/>
      </w:pPr>
      <w:r>
        <w:rPr>
          <w:rFonts w:ascii="Arial" w:hAnsi="Arial"/>
          <w:sz w:val="48"/>
        </w:rPr>
        <w:t>Calculate integrated safety-efficacy scores for all candidates.</w:t>
      </w:r>
    </w:p>
    <w:p>
      <w:pPr>
        <w:pStyle w:val="ListBullet"/>
      </w:pPr>
      <w:r>
        <w:rPr>
          <w:rFonts w:ascii="Arial" w:hAnsi="Arial"/>
          <w:sz w:val="48"/>
        </w:rPr>
        <w:t>Identify top 5 candidates meeting all acceptance criteria.</w:t>
      </w:r>
    </w:p>
    <w:p>
      <w:pPr>
        <w:pStyle w:val="ListBullet"/>
      </w:pPr>
      <w:r>
        <w:rPr>
          <w:rFonts w:ascii="Arial" w:hAnsi="Arial"/>
          <w:sz w:val="48"/>
        </w:rPr>
        <w:t>Perform sensitivity analysis on key decision parameters.</w:t>
      </w:r>
    </w:p>
    <w:p>
      <w:pPr>
        <w:pStyle w:val="ListBullet"/>
      </w:pPr>
      <w:r>
        <w:rPr>
          <w:rFonts w:ascii="Arial" w:hAnsi="Arial"/>
          <w:sz w:val="48"/>
        </w:rPr>
        <w:t>Compare top candidates against published intrathecal ASO programs.</w:t>
      </w:r>
    </w:p>
    <w:p>
      <w:r>
        <w:rPr>
          <w:rFonts w:ascii="Arial" w:hAnsi="Arial"/>
          <w:b/>
          <w:sz w:val="48"/>
        </w:rPr>
        <w:t xml:space="preserve">Expected Outputs: </w:t>
      </w:r>
    </w:p>
    <w:p>
      <w:pPr>
        <w:pStyle w:val="ListBullet"/>
      </w:pPr>
      <w:r>
        <w:rPr>
          <w:rFonts w:ascii="Arial" w:hAnsi="Arial"/>
          <w:sz w:val="48"/>
        </w:rPr>
        <w:t>Integrated ranking of top 10 intrathecal ASO candidates</w:t>
      </w:r>
    </w:p>
    <w:p>
      <w:pPr>
        <w:pStyle w:val="ListBullet"/>
      </w:pPr>
      <w:r>
        <w:rPr>
          <w:rFonts w:ascii="Arial" w:hAnsi="Arial"/>
          <w:sz w:val="48"/>
        </w:rPr>
        <w:t>Detailed safety-efficacy profiles for top 5 candidates</w:t>
      </w:r>
    </w:p>
    <w:p>
      <w:pPr>
        <w:pStyle w:val="ListBullet"/>
      </w:pPr>
      <w:r>
        <w:rPr>
          <w:rFonts w:ascii="Arial" w:hAnsi="Arial"/>
          <w:sz w:val="48"/>
        </w:rPr>
        <w:t>Go/No-Go recommendations with decision justification</w:t>
      </w:r>
    </w:p>
    <w:p>
      <w:pPr>
        <w:pStyle w:val="ListBullet"/>
      </w:pPr>
      <w:r>
        <w:rPr>
          <w:rFonts w:ascii="Arial" w:hAnsi="Arial"/>
          <w:sz w:val="48"/>
        </w:rPr>
        <w:t>Risk stratification and mitigation strategies</w:t>
      </w:r>
    </w:p>
    <w:p>
      <w:pPr>
        <w:pStyle w:val="ListBullet"/>
      </w:pPr>
      <w:r>
        <w:rPr>
          <w:rFonts w:ascii="Arial" w:hAnsi="Arial"/>
          <w:sz w:val="48"/>
        </w:rPr>
        <w:t>Sensitivity analysis demonstrating ranking robustness</w:t>
      </w:r>
    </w:p>
    <w:p>
      <w:pPr>
        <w:pStyle w:val="ListBullet"/>
      </w:pPr>
      <w:r>
        <w:rPr>
          <w:rFonts w:ascii="Arial" w:hAnsi="Arial"/>
          <w:sz w:val="48"/>
        </w:rPr>
        <w:t>Comparative competitive landscape assessment</w:t>
      </w:r>
    </w:p>
    <w:p>
      <w:r>
        <w:rPr>
          <w:rFonts w:ascii="Arial" w:hAnsi="Arial"/>
          <w:b/>
          <w:sz w:val="48"/>
        </w:rPr>
        <w:t xml:space="preserve">Format: </w:t>
      </w:r>
    </w:p>
    <w:p>
      <w:pPr>
        <w:pStyle w:val="ListBullet"/>
      </w:pPr>
      <w:r>
        <w:rPr>
          <w:rFonts w:ascii="Arial" w:hAnsi="Arial"/>
          <w:sz w:val="48"/>
        </w:rPr>
        <w:t>Executive summary with candidate cards; detailed ranking matrices; sensitivity plots; risk-benefit visualizations.</w:t>
      </w:r>
    </w:p>
    <w:p>
      <w:pPr>
        <w:pStyle w:val="Heading2"/>
      </w:pPr>
      <w:r>
        <w:rPr>
          <w:rFonts w:ascii="Arial" w:hAnsi="Arial"/>
          <w:b/>
          <w:sz w:val="56"/>
        </w:rPr>
        <w:t>Stage 6: Intrathecal Development Roadmap and GLP Strategy</w:t>
      </w:r>
    </w:p>
    <w:p>
      <w:r>
        <w:rPr>
          <w:rFonts w:ascii="Arial" w:hAnsi="Arial"/>
          <w:b/>
          <w:sz w:val="48"/>
        </w:rPr>
        <w:t xml:space="preserve">Purpose: </w:t>
      </w:r>
    </w:p>
    <w:p>
      <w:pPr>
        <w:pStyle w:val="ListBullet"/>
      </w:pPr>
      <w:r>
        <w:rPr>
          <w:rFonts w:ascii="Arial" w:hAnsi="Arial"/>
          <w:sz w:val="48"/>
        </w:rPr>
        <w:t>Compile comprehensive recommendations for intrathecal ASO development including formulation, preclinical toxicology, manufacturing, and regulatory pathways.</w:t>
      </w:r>
    </w:p>
    <w:p>
      <w:r>
        <w:rPr>
          <w:rFonts w:ascii="Arial" w:hAnsi="Arial"/>
          <w:b/>
          <w:sz w:val="48"/>
        </w:rPr>
        <w:t xml:space="preserve">Inputs: </w:t>
      </w:r>
    </w:p>
    <w:p>
      <w:pPr>
        <w:pStyle w:val="ListBullet"/>
      </w:pPr>
      <w:r>
        <w:rPr>
          <w:rFonts w:ascii="Arial" w:hAnsi="Arial"/>
          <w:sz w:val="48"/>
        </w:rPr>
        <w:t>Top 5 recommended intrathecal ASO candidates</w:t>
      </w:r>
    </w:p>
    <w:p>
      <w:pPr>
        <w:pStyle w:val="ListBullet"/>
      </w:pPr>
      <w:r>
        <w:rPr>
          <w:rFonts w:ascii="Arial" w:hAnsi="Arial"/>
          <w:sz w:val="48"/>
        </w:rPr>
        <w:t>All analytical data from Stages 1–5</w:t>
      </w:r>
    </w:p>
    <w:p>
      <w:pPr>
        <w:pStyle w:val="ListBullet"/>
      </w:pPr>
      <w:r>
        <w:rPr>
          <w:rFonts w:ascii="Arial" w:hAnsi="Arial"/>
          <w:sz w:val="48"/>
        </w:rPr>
        <w:t>Intrathecal drug development regulatory guidance (FDA, EMA)</w:t>
      </w:r>
    </w:p>
    <w:p>
      <w:pPr>
        <w:pStyle w:val="ListBullet"/>
      </w:pPr>
      <w:r>
        <w:rPr>
          <w:rFonts w:ascii="Arial" w:hAnsi="Arial"/>
          <w:sz w:val="48"/>
        </w:rPr>
        <w:t>Preclinical neurotoxicity protocols</w:t>
      </w:r>
    </w:p>
    <w:p>
      <w:pPr>
        <w:pStyle w:val="ListBullet"/>
      </w:pPr>
      <w:r>
        <w:rPr>
          <w:rFonts w:ascii="Arial" w:hAnsi="Arial"/>
          <w:sz w:val="48"/>
        </w:rPr>
        <w:t>GLP toxicology study requirements</w:t>
      </w:r>
    </w:p>
    <w:p>
      <w:pPr>
        <w:pStyle w:val="ListBullet"/>
      </w:pPr>
      <w:r>
        <w:rPr>
          <w:rFonts w:ascii="Arial" w:hAnsi="Arial"/>
          <w:sz w:val="48"/>
        </w:rPr>
        <w:t>Formulation science literature</w:t>
      </w:r>
    </w:p>
    <w:p>
      <w:r>
        <w:rPr>
          <w:rFonts w:ascii="Arial" w:hAnsi="Arial"/>
          <w:b/>
          <w:sz w:val="48"/>
        </w:rPr>
        <w:t xml:space="preserve">Tools &amp; Databases Called: </w:t>
      </w:r>
    </w:p>
    <w:p>
      <w:pPr>
        <w:pStyle w:val="ListBullet"/>
      </w:pPr>
      <w:r>
        <w:rPr>
          <w:rFonts w:ascii="Arial" w:hAnsi="Arial"/>
          <w:sz w:val="48"/>
        </w:rPr>
        <w:t>Formulation design module (intrathecal-specific guidance)</w:t>
      </w:r>
    </w:p>
    <w:p>
      <w:pPr>
        <w:pStyle w:val="ListBullet"/>
      </w:pPr>
      <w:r>
        <w:rPr>
          <w:rFonts w:ascii="Arial" w:hAnsi="Arial"/>
          <w:sz w:val="48"/>
        </w:rPr>
        <w:t>Regulatory pathway classifier (CNS intrathecal designation)</w:t>
      </w:r>
    </w:p>
    <w:p>
      <w:pPr>
        <w:pStyle w:val="ListBullet"/>
      </w:pPr>
      <w:r>
        <w:rPr>
          <w:rFonts w:ascii="Arial" w:hAnsi="Arial"/>
          <w:sz w:val="48"/>
        </w:rPr>
        <w:t>Preclinical protocol template library</w:t>
      </w:r>
    </w:p>
    <w:p>
      <w:pPr>
        <w:pStyle w:val="ListBullet"/>
      </w:pPr>
      <w:r>
        <w:rPr>
          <w:rFonts w:ascii="Arial" w:hAnsi="Arial"/>
          <w:sz w:val="48"/>
        </w:rPr>
        <w:t>GLP neurotoxicology database</w:t>
      </w:r>
    </w:p>
    <w:p>
      <w:pPr>
        <w:pStyle w:val="ListBullet"/>
      </w:pPr>
      <w:r>
        <w:rPr>
          <w:rFonts w:ascii="Arial" w:hAnsi="Arial"/>
          <w:sz w:val="48"/>
        </w:rPr>
        <w:t>Manufacturing specification generator</w:t>
      </w:r>
    </w:p>
    <w:p>
      <w:pPr>
        <w:pStyle w:val="ListBullet"/>
      </w:pPr>
      <w:r>
        <w:rPr>
          <w:rFonts w:ascii="Arial" w:hAnsi="Arial"/>
          <w:sz w:val="48"/>
        </w:rPr>
        <w:t>Stability prediction algorithm</w:t>
      </w:r>
    </w:p>
    <w:p>
      <w:pPr>
        <w:pStyle w:val="ListBullet"/>
      </w:pPr>
      <w:r>
        <w:rPr>
          <w:rFonts w:ascii="Arial" w:hAnsi="Arial"/>
          <w:sz w:val="48"/>
        </w:rPr>
        <w:t>Literature mining tool for program comparisons</w:t>
      </w:r>
    </w:p>
    <w:p>
      <w:r>
        <w:rPr>
          <w:rFonts w:ascii="Arial" w:hAnsi="Arial"/>
          <w:b/>
          <w:sz w:val="48"/>
        </w:rPr>
        <w:t xml:space="preserve">Exemplary Sub-Prompts: </w:t>
      </w:r>
    </w:p>
    <w:p>
      <w:pPr>
        <w:pStyle w:val="ListBullet"/>
      </w:pPr>
      <w:r>
        <w:rPr>
          <w:rFonts w:ascii="Arial" w:hAnsi="Arial"/>
          <w:sz w:val="48"/>
        </w:rPr>
        <w:t>Design intrathecal formulation (excipients, pH, osmolarity, sterility requirements).</w:t>
      </w:r>
    </w:p>
    <w:p>
      <w:pPr>
        <w:pStyle w:val="ListBullet"/>
      </w:pPr>
      <w:r>
        <w:rPr>
          <w:rFonts w:ascii="Arial" w:hAnsi="Arial"/>
          <w:sz w:val="48"/>
        </w:rPr>
        <w:t>Specify manufacturing and quality control (CMC documentation).</w:t>
      </w:r>
    </w:p>
    <w:p>
      <w:pPr>
        <w:pStyle w:val="ListBullet"/>
      </w:pPr>
      <w:r>
        <w:rPr>
          <w:rFonts w:ascii="Arial" w:hAnsi="Arial"/>
          <w:sz w:val="48"/>
        </w:rPr>
        <w:t>Recommend GLP neurotoxicity study design (species, exposure duration, readouts).</w:t>
      </w:r>
    </w:p>
    <w:p>
      <w:pPr>
        <w:pStyle w:val="ListBullet"/>
      </w:pPr>
      <w:r>
        <w:rPr>
          <w:rFonts w:ascii="Arial" w:hAnsi="Arial"/>
          <w:sz w:val="48"/>
        </w:rPr>
        <w:t>Outline IND-enabling studies (pharmacology, safety pharmacology).</w:t>
      </w:r>
    </w:p>
    <w:p>
      <w:pPr>
        <w:pStyle w:val="ListBullet"/>
      </w:pPr>
      <w:r>
        <w:rPr>
          <w:rFonts w:ascii="Arial" w:hAnsi="Arial"/>
          <w:sz w:val="48"/>
        </w:rPr>
        <w:t>Develop regulatory strategy for intrathecal CNS designation.</w:t>
      </w:r>
    </w:p>
    <w:p>
      <w:r>
        <w:rPr>
          <w:rFonts w:ascii="Arial" w:hAnsi="Arial"/>
          <w:b/>
          <w:sz w:val="48"/>
        </w:rPr>
        <w:t xml:space="preserve">Expected Outputs: </w:t>
      </w:r>
    </w:p>
    <w:p>
      <w:pPr>
        <w:pStyle w:val="ListBullet"/>
      </w:pPr>
      <w:r>
        <w:rPr>
          <w:rFonts w:ascii="Arial" w:hAnsi="Arial"/>
          <w:sz w:val="48"/>
        </w:rPr>
        <w:t>Detailed lead candidate summary cards</w:t>
      </w:r>
    </w:p>
    <w:p>
      <w:pPr>
        <w:pStyle w:val="ListBullet"/>
      </w:pPr>
      <w:r>
        <w:rPr>
          <w:rFonts w:ascii="Arial" w:hAnsi="Arial"/>
          <w:sz w:val="48"/>
        </w:rPr>
        <w:t>Formulation specifications and stability data</w:t>
      </w:r>
    </w:p>
    <w:p>
      <w:pPr>
        <w:pStyle w:val="ListBullet"/>
      </w:pPr>
      <w:r>
        <w:rPr>
          <w:rFonts w:ascii="Arial" w:hAnsi="Arial"/>
          <w:sz w:val="48"/>
        </w:rPr>
        <w:t>Manufacturing and CMC documentation</w:t>
      </w:r>
    </w:p>
    <w:p>
      <w:pPr>
        <w:pStyle w:val="ListBullet"/>
      </w:pPr>
      <w:r>
        <w:rPr>
          <w:rFonts w:ascii="Arial" w:hAnsi="Arial"/>
          <w:sz w:val="48"/>
        </w:rPr>
        <w:t>GLP neurotoxicology study protocol</w:t>
      </w:r>
    </w:p>
    <w:p>
      <w:pPr>
        <w:pStyle w:val="ListBullet"/>
      </w:pPr>
      <w:r>
        <w:rPr>
          <w:rFonts w:ascii="Arial" w:hAnsi="Arial"/>
          <w:sz w:val="48"/>
        </w:rPr>
        <w:t>Preclinical pharmacology and PK study designs</w:t>
      </w:r>
    </w:p>
    <w:p>
      <w:pPr>
        <w:pStyle w:val="ListBullet"/>
      </w:pPr>
      <w:r>
        <w:rPr>
          <w:rFonts w:ascii="Arial" w:hAnsi="Arial"/>
          <w:sz w:val="48"/>
        </w:rPr>
        <w:t>Regulatory pathway roadmap</w:t>
      </w:r>
    </w:p>
    <w:p>
      <w:pPr>
        <w:pStyle w:val="ListBullet"/>
      </w:pPr>
      <w:r>
        <w:rPr>
          <w:rFonts w:ascii="Arial" w:hAnsi="Arial"/>
          <w:sz w:val="48"/>
        </w:rPr>
        <w:t>Overall development timeline and resource requirements</w:t>
      </w:r>
    </w:p>
    <w:p>
      <w:r>
        <w:rPr>
          <w:rFonts w:ascii="Arial" w:hAnsi="Arial"/>
          <w:b/>
          <w:sz w:val="48"/>
        </w:rPr>
        <w:t xml:space="preserve">Format: </w:t>
      </w:r>
    </w:p>
    <w:p>
      <w:pPr>
        <w:pStyle w:val="ListBullet"/>
      </w:pPr>
      <w:r>
        <w:rPr>
          <w:rFonts w:ascii="Arial" w:hAnsi="Arial"/>
          <w:sz w:val="48"/>
        </w:rPr>
        <w:t>Comprehensive report with candidate profiles, formulation specifications, study protocols, CMC guidance, and regulatory strategy documents.</w:t>
      </w:r>
    </w:p>
    <w:p>
      <w:pPr>
        <w:pStyle w:val="Heading2"/>
      </w:pPr>
      <w:r>
        <w:rPr>
          <w:rFonts w:ascii="Arial" w:hAnsi="Arial"/>
          <w:b/>
          <w:sz w:val="56"/>
        </w:rPr>
        <w:t>Tools &amp; Databases Summary</w:t>
      </w:r>
    </w:p>
    <w:p>
      <w:pPr>
        <w:pStyle w:val="ListBullet"/>
      </w:pPr>
      <w:r>
        <w:rPr>
          <w:rFonts w:ascii="Arial" w:hAnsi="Arial"/>
          <w:sz w:val="48"/>
        </w:rPr>
        <w:t>NCBI GenBank – Gene sequence and transcript retrieval</w:t>
      </w:r>
    </w:p>
    <w:p>
      <w:pPr>
        <w:pStyle w:val="ListBullet"/>
      </w:pPr>
      <w:r>
        <w:rPr>
          <w:rFonts w:ascii="Arial" w:hAnsi="Arial"/>
          <w:sz w:val="48"/>
        </w:rPr>
        <w:t>Ensembl – Gene annotation and isoform data</w:t>
      </w:r>
    </w:p>
    <w:p>
      <w:pPr>
        <w:pStyle w:val="ListBullet"/>
      </w:pPr>
      <w:r>
        <w:rPr>
          <w:rFonts w:ascii="Arial" w:hAnsi="Arial"/>
          <w:sz w:val="48"/>
        </w:rPr>
        <w:t>UCSC Genome Browser – Genomic visualization and analysis</w:t>
      </w:r>
    </w:p>
    <w:p>
      <w:pPr>
        <w:pStyle w:val="ListBullet"/>
      </w:pPr>
      <w:r>
        <w:rPr>
          <w:rFonts w:ascii="Arial" w:hAnsi="Arial"/>
          <w:sz w:val="48"/>
        </w:rPr>
        <w:t>CpG Island Finder – Immunogenic dinucleotide detection</w:t>
      </w:r>
    </w:p>
    <w:p>
      <w:pPr>
        <w:pStyle w:val="ListBullet"/>
      </w:pPr>
      <w:r>
        <w:rPr>
          <w:rFonts w:ascii="Arial" w:hAnsi="Arial"/>
          <w:sz w:val="48"/>
        </w:rPr>
        <w:t>ISS Database – Immunostimulatory sequences</w:t>
      </w:r>
    </w:p>
    <w:p>
      <w:pPr>
        <w:pStyle w:val="ListBullet"/>
      </w:pPr>
      <w:r>
        <w:rPr>
          <w:rFonts w:ascii="Arial" w:hAnsi="Arial"/>
          <w:sz w:val="48"/>
        </w:rPr>
        <w:t>TLR Response Database – TLR3/7/8 activation patterns</w:t>
      </w:r>
    </w:p>
    <w:p>
      <w:pPr>
        <w:pStyle w:val="ListBullet"/>
      </w:pPr>
      <w:r>
        <w:rPr>
          <w:rFonts w:ascii="Arial" w:hAnsi="Arial"/>
          <w:sz w:val="48"/>
        </w:rPr>
        <w:t>Quiver EP CRISPR Atlas – 18,000 perturbations, 500+ neuronal features</w:t>
      </w:r>
    </w:p>
    <w:p>
      <w:pPr>
        <w:pStyle w:val="ListBullet"/>
      </w:pPr>
      <w:r>
        <w:rPr>
          <w:rFonts w:ascii="Arial" w:hAnsi="Arial"/>
          <w:sz w:val="48"/>
        </w:rPr>
        <w:t>RNAfold/mfold – RNA secondary structure prediction</w:t>
      </w:r>
    </w:p>
    <w:p>
      <w:pPr>
        <w:pStyle w:val="ListBullet"/>
      </w:pPr>
      <w:r>
        <w:rPr>
          <w:rFonts w:ascii="Arial" w:hAnsi="Arial"/>
          <w:sz w:val="48"/>
        </w:rPr>
        <w:t>TLR Signaling Database (KEGG, Reactome) – Pathway information</w:t>
      </w:r>
    </w:p>
    <w:p>
      <w:pPr>
        <w:pStyle w:val="ListBullet"/>
      </w:pPr>
      <w:r>
        <w:rPr>
          <w:rFonts w:ascii="Arial" w:hAnsi="Arial"/>
          <w:sz w:val="48"/>
        </w:rPr>
        <w:t>Immune Response Prediction Engine – Machine learning classifier</w:t>
      </w:r>
    </w:p>
    <w:p>
      <w:pPr>
        <w:pStyle w:val="ListBullet"/>
      </w:pPr>
      <w:r>
        <w:rPr>
          <w:rFonts w:ascii="Arial" w:hAnsi="Arial"/>
          <w:sz w:val="48"/>
        </w:rPr>
        <w:t>Cytokine Response Predictor – Pro-inflammatory signature modeling</w:t>
      </w:r>
    </w:p>
    <w:p>
      <w:pPr>
        <w:pStyle w:val="ListBullet"/>
      </w:pPr>
      <w:r>
        <w:rPr>
          <w:rFonts w:ascii="Arial" w:hAnsi="Arial"/>
          <w:sz w:val="48"/>
        </w:rPr>
        <w:t>Microglial Activation Database – CNS immune cell responses</w:t>
      </w:r>
    </w:p>
    <w:p>
      <w:pPr>
        <w:pStyle w:val="ListBullet"/>
      </w:pPr>
      <w:r>
        <w:rPr>
          <w:rFonts w:ascii="Arial" w:hAnsi="Arial"/>
          <w:sz w:val="48"/>
        </w:rPr>
        <w:t>CSF Pharmacokinetics Simulator – Intrathecal PK modeling</w:t>
      </w:r>
    </w:p>
    <w:p>
      <w:pPr>
        <w:pStyle w:val="ListBullet"/>
      </w:pPr>
      <w:r>
        <w:rPr>
          <w:rFonts w:ascii="Arial" w:hAnsi="Arial"/>
          <w:sz w:val="48"/>
        </w:rPr>
        <w:t>Intrathecal Delivery Modeling Platform – Distribution assessment</w:t>
      </w:r>
    </w:p>
    <w:p>
      <w:pPr>
        <w:pStyle w:val="ListBullet"/>
      </w:pPr>
      <w:r>
        <w:rPr>
          <w:rFonts w:ascii="Arial" w:hAnsi="Arial"/>
          <w:sz w:val="48"/>
        </w:rPr>
        <w:t>PBPK Simulator – Physiologically-based pharmacokinetics</w:t>
      </w:r>
    </w:p>
    <w:p>
      <w:pPr>
        <w:pStyle w:val="ListBullet"/>
      </w:pPr>
      <w:r>
        <w:rPr>
          <w:rFonts w:ascii="Arial" w:hAnsi="Arial"/>
          <w:sz w:val="48"/>
        </w:rPr>
        <w:t>Multi-Criteria Decision Analysis Platform – Candidate prioritization</w:t>
      </w:r>
    </w:p>
    <w:sectPr w:rsidR="00FC693F" w:rsidRPr="0006063C" w:rsidSect="00034616">
      <w:pgSz w:w="12240" w:h="15840"/>
      <w:pgMar w:top="2" w:right="2" w:bottom="2" w:left="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