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Sapphire Pipeline Workflow</w:t>
      </w:r>
    </w:p>
    <w:p>
      <w:pPr>
        <w:pStyle w:val="Heading2"/>
      </w:pPr>
      <w:r>
        <w:t xml:space="preserve">Prompt: "For gene Y, generate ASO sequences optimized for intrathecal delivery with low innate immune activation risk."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</w:pPr>
      <w:r>
        <w:t xml:space="preserve">Pipeline Overview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This pipeline designs ASO sequences for intrathecal (IT) delivery with minimized innate immune activation risk. Intrathecal delivery bypasses the blood-brain barrier but exposes CNS immune cells directly to the ASO — making immune activation a critical safety concern, as improper delivery can result in CSF pleocytosis and neuroinflammation. The pipeline comprises six sequential stages that progressively narrow candidate ASO sequences from broad enumeration to a final curated set optimized for both efficacy and safety.</w:t>
      </w:r>
    </w:p>
    <w:p>
      <w:pPr>
        <w:spacing w:after="300" w:line="360"/>
      </w:pPr>
      <w:r>
        <w:rPr>
          <w:rFonts w:ascii="Arial" w:cs="Arial" w:eastAsia="Arial" w:hAnsi="Arial"/>
          <w:sz w:val="24"/>
          <w:szCs w:val="24"/>
        </w:rPr>
        <w:t xml:space="preserve">The workflow leverages established precedents from clinically approved intrathecal ASOs (nusinersen for SMA, tofersen for SOD1-ALS) and integrates proprietary Quiver and Sapphire computational modules for immune activation risk assessment, pharmacokinetics modeling, and off-target prediction. Each stage produces validated intermediate outputs that feed forward to subsequent stages, ensuring a transparent and reproducible design process.</w:t>
      </w:r>
    </w:p>
    <w:p>
      <w:pPr>
        <w:pStyle w:val="Heading2"/>
      </w:pPr>
      <w:r>
        <w:t xml:space="preserve">Stage 1: Gene Y Transcript &amp; Target Region Selection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Retrieve gene Y transcript(s), identify optimal ASO target regions considering intrathecal delivery constraints (CNS-expressed transcripts, accessible target sites within mRNA structure), and validate CNS expression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symbol or HGNC identifier for gene 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tissue specificity (CNS cell types: neurons, astrocytes, oligodendrocytes, microglia)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Isoform preference (if known)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Ensembl REST API: </w:t>
      </w:r>
      <w:r>
        <w:rPr>
          <w:rFonts w:ascii="Arial" w:cs="Arial" w:eastAsia="Arial" w:hAnsi="Arial"/>
          <w:sz w:val="24"/>
          <w:szCs w:val="24"/>
        </w:rPr>
        <w:t xml:space="preserve">Query gene canonical transcript and all isoforms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NCBI RefSeq: </w:t>
      </w:r>
      <w:r>
        <w:rPr>
          <w:rFonts w:ascii="Arial" w:cs="Arial" w:eastAsia="Arial" w:hAnsi="Arial"/>
          <w:sz w:val="24"/>
          <w:szCs w:val="24"/>
        </w:rPr>
        <w:t xml:space="preserve">Retrieve curated reference sequences and exon boundaries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GENCODE: </w:t>
      </w:r>
      <w:r>
        <w:rPr>
          <w:rFonts w:ascii="Arial" w:cs="Arial" w:eastAsia="Arial" w:hAnsi="Arial"/>
          <w:sz w:val="24"/>
          <w:szCs w:val="24"/>
        </w:rPr>
        <w:t xml:space="preserve">Access comprehensive transcript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GTEx (Genotype-Tissue Expression): </w:t>
      </w:r>
      <w:r>
        <w:rPr>
          <w:rFonts w:ascii="Arial" w:cs="Arial" w:eastAsia="Arial" w:hAnsi="Arial"/>
          <w:sz w:val="24"/>
          <w:szCs w:val="24"/>
        </w:rPr>
        <w:t xml:space="preserve">Confirm CNS expression levels (brain tissues, spinal cord)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RNAfold (ViennaRNA): </w:t>
      </w:r>
      <w:r>
        <w:rPr>
          <w:rFonts w:ascii="Arial" w:cs="Arial" w:eastAsia="Arial" w:hAnsi="Arial"/>
          <w:sz w:val="24"/>
          <w:szCs w:val="24"/>
        </w:rPr>
        <w:t xml:space="preserve">Predict secondary structure and identify accessible target sites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Retrieve all RefSeq transcripts for gene Y and report exon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What is the CNS expression distribution (brain, spinal cord) of gene Y isoforms from GTEx?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 secondary structure for gene Y canonical transcript and identify regions with low predicted Gibbs free energy (accessible for ASO binding)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Canonical transcript sequence (FASTA format)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Exon-intron map with genomic coordinates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expression levels (TPM or normalized) across cell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Secondary structure model with identified accessible target regions (ΔG &lt; threshold)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 20 target regions ranked by accessibility and distance from regulatory elements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or TSV with transcript metadata, secondary structure predictions, and ranked target region list</w:t>
      </w:r>
    </w:p>
    <w:p>
      <w:pPr>
        <w:pStyle w:val="Heading2"/>
      </w:pPr>
      <w:r>
        <w:t xml:space="preserve">Stage 2: ASO Candidate Enumeration with IT-Optimized Design Rules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candidate ASO sequences by applying intrathecal-specific design rules: avoid CpG dinucleotides (TLR9 activation risk), minimize GU-rich sequences (TLR7/8 activation), optimize length (18–20 nucleotides), and select backbone chemistry suitable for intrathecal use (2′-MOE gapmer chemistry preferred based on nusinersen/tofersen clinical precedent).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Canonical transcript sequence (FASTA from Stage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 target regions (20 prioritized regions from Stage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IT design rule specifications (length 18–20nt, backbone chemistry, motif avoidance thresholds)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ASO Design Module (IT mode): </w:t>
      </w:r>
      <w:r>
        <w:rPr>
          <w:rFonts w:ascii="Arial" w:cs="Arial" w:eastAsia="Arial" w:hAnsi="Arial"/>
          <w:sz w:val="24"/>
          <w:szCs w:val="24"/>
        </w:rPr>
        <w:t xml:space="preserve">Generate candidate sequences with IT-specific chemistry and motif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CpG Motif Scanner: </w:t>
      </w:r>
      <w:r>
        <w:rPr>
          <w:rFonts w:ascii="Arial" w:cs="Arial" w:eastAsia="Arial" w:hAnsi="Arial"/>
          <w:sz w:val="24"/>
          <w:szCs w:val="24"/>
        </w:rPr>
        <w:t xml:space="preserve">Identify and filter CpG dinucleotides (immunostimulatory via TLR9)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GU-Rich Motif Scanner: </w:t>
      </w:r>
      <w:r>
        <w:rPr>
          <w:rFonts w:ascii="Arial" w:cs="Arial" w:eastAsia="Arial" w:hAnsi="Arial"/>
          <w:sz w:val="24"/>
          <w:szCs w:val="24"/>
        </w:rPr>
        <w:t xml:space="preserve">Identify and minimize GU-rich stretches (TLR7/8 activation)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OligoCalc: </w:t>
      </w:r>
      <w:r>
        <w:rPr>
          <w:rFonts w:ascii="Arial" w:cs="Arial" w:eastAsia="Arial" w:hAnsi="Arial"/>
          <w:sz w:val="24"/>
          <w:szCs w:val="24"/>
        </w:rPr>
        <w:t xml:space="preserve">Calculate Tm, GC content, and nucleotide composition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Ionis/Antisense Pharma IT-ASO Design Conventions: </w:t>
      </w:r>
      <w:r>
        <w:rPr>
          <w:rFonts w:ascii="Arial" w:cs="Arial" w:eastAsia="Arial" w:hAnsi="Arial"/>
          <w:sz w:val="24"/>
          <w:szCs w:val="24"/>
        </w:rPr>
        <w:t xml:space="preserve">Apply empirical design rules from nusinersen and tofersen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Using Quiver (IT mode), enumerate all 18–20 nucleotide sequences targeting the 20 candidate regions that contain zero or minimal CpG dinucleotides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 sequences with &gt;15% GU content; report remaining candidate pool with GC content and Tm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Generate consensus set: sequences with 2′-MOE gapmer backbone, length 18–20nt, minimal CpG/GU motifs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 pool of 50–150 ASO sequences (18–20nt 2′-MOE gapmer)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Per-sequence metadata: target location, GC %, Tm, CpG count, GU-rich motif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Filtered candidate list with motif violations annotated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TSV or JSON with sequence, chemistry, biophysical properties, and motif annotations</w:t>
      </w:r>
    </w:p>
    <w:p>
      <w:pPr>
        <w:pStyle w:val="Heading2"/>
      </w:pPr>
      <w:r>
        <w:t xml:space="preserve">Stage 3: Innate Immune Activation Risk Scoring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Score each candidate ASO for innate immune activation risk across multiple pathways critical for intrathecal safety: TLR9 (CpG dinucleotide activation), TLR7/8 (GU-rich sequence activation), TLR3 (dsRNA-like motif recognition), RIG-I/MDA5 (cytoplasmic RNA sensors), complement activation, and STING pathway activation. This scoring is essential because direct CSF exposure mandates minimal systemic and CNS innate immune activation.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 ASO sequences and metadata (from Stage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immunostimulatory motif database (TLR ligand motifs)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IT safety precedent data (nusinersen, tofersen immune monitoring reports)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TLR Ligand Prediction Models: </w:t>
      </w:r>
      <w:r>
        <w:rPr>
          <w:rFonts w:ascii="Arial" w:cs="Arial" w:eastAsia="Arial" w:hAnsi="Arial"/>
          <w:sz w:val="24"/>
          <w:szCs w:val="24"/>
        </w:rPr>
        <w:t xml:space="preserve">Machine learning models predicting TLR9, TLR7/8 binding affinity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CpG/GU Motif Quantification Tools: </w:t>
      </w:r>
      <w:r>
        <w:rPr>
          <w:rFonts w:ascii="Arial" w:cs="Arial" w:eastAsia="Arial" w:hAnsi="Arial"/>
          <w:sz w:val="24"/>
          <w:szCs w:val="24"/>
        </w:rPr>
        <w:t xml:space="preserve">Count, score, and rank immunostimulatory motif frequency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Immunostimulatory Motif Databases: </w:t>
      </w:r>
      <w:r>
        <w:rPr>
          <w:rFonts w:ascii="Arial" w:cs="Arial" w:eastAsia="Arial" w:hAnsi="Arial"/>
          <w:sz w:val="24"/>
          <w:szCs w:val="24"/>
        </w:rPr>
        <w:t xml:space="preserve">Curated motifs associated with TLR3, RIG-I, MDA5, STING activation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Immune Response Data: </w:t>
      </w:r>
      <w:r>
        <w:rPr>
          <w:rFonts w:ascii="Arial" w:cs="Arial" w:eastAsia="Arial" w:hAnsi="Arial"/>
          <w:sz w:val="24"/>
          <w:szCs w:val="24"/>
        </w:rPr>
        <w:t xml:space="preserve">Proprietary immunogenicity scores for ASO chemistries and motifs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Complement Activation Prediction Models: </w:t>
      </w:r>
      <w:r>
        <w:rPr>
          <w:rFonts w:ascii="Arial" w:cs="Arial" w:eastAsia="Arial" w:hAnsi="Arial"/>
          <w:sz w:val="24"/>
          <w:szCs w:val="24"/>
        </w:rPr>
        <w:t xml:space="preserve">Predict classical and alternative pathway activation via ASO chemistry and backbone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 each candidate, quantify CpG dinucleotides and predict TLR9 binding affinity using established ML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Score GU-rich motif content and predict TLR7/8 activation potential relative to nusinersen/tofersen benchmarks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Assess RIG-I/MDA5 and STING pathway activation risk using published motif databases and Quiver immune response module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Immune activation risk score for each candidate (composite score: TLR9, TLR7/8, TLR3, RIG-I/MDA5, complement, STING)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Per-pathway activation probabilities and risk classification (low/medium/high)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Benchmark comparison: candidate scores vs. nusinersen/tofersen reference 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Candidates meeting IT-specific immune safety threshold (e.g., composite score ≤ 3/10)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with per-candidate immune risk scores, pathway breakdown, and safety classification</w:t>
      </w:r>
    </w:p>
    <w:p>
      <w:pPr>
        <w:pStyle w:val="Heading2"/>
      </w:pPr>
      <w:r>
        <w:t xml:space="preserve">Stage 4: IT Pharmacokinetics &amp; Distribution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candidates for intrathecal delivery pharmacokinetics: predict cerebrospinal fluid (CSF) half-life, tissue penetration from CSF into parenchyma, rostral-caudal distribution gradient along the spinal axis, and cellular uptake efficiency in target CNS cell types (neurons, astrocytes, oligodendrocytes).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Candidates passing immune activation risk threshold (from Stage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ASO chemistry (2′-MOE gapmer backbone specifications)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CNS cell type specifications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IT-ASO Pharmacokinetic Models: </w:t>
      </w:r>
      <w:r>
        <w:rPr>
          <w:rFonts w:ascii="Arial" w:cs="Arial" w:eastAsia="Arial" w:hAnsi="Arial"/>
          <w:sz w:val="24"/>
          <w:szCs w:val="24"/>
        </w:rPr>
        <w:t xml:space="preserve">Clinical and preclinical PK data from nusinersen and tofersen trials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PK/Distribution Model: </w:t>
      </w:r>
      <w:r>
        <w:rPr>
          <w:rFonts w:ascii="Arial" w:cs="Arial" w:eastAsia="Arial" w:hAnsi="Arial"/>
          <w:sz w:val="24"/>
          <w:szCs w:val="24"/>
        </w:rPr>
        <w:t xml:space="preserve">Proprietary computational model for CSF dynamics and tissue penetration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ASO Chemistry Atlas: </w:t>
      </w:r>
      <w:r>
        <w:rPr>
          <w:rFonts w:ascii="Arial" w:cs="Arial" w:eastAsia="Arial" w:hAnsi="Arial"/>
          <w:sz w:val="24"/>
          <w:szCs w:val="24"/>
        </w:rPr>
        <w:t xml:space="preserve">Backbone chemistry parameters (2′-MOE gapmer, hybridization stability, cellular uptake coefficients)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CSF Pharmacokinetic Data: </w:t>
      </w:r>
      <w:r>
        <w:rPr>
          <w:rFonts w:ascii="Arial" w:cs="Arial" w:eastAsia="Arial" w:hAnsi="Arial"/>
          <w:sz w:val="24"/>
          <w:szCs w:val="24"/>
        </w:rPr>
        <w:t xml:space="preserve">Literature on IT-ASO clearance, metabolism, and distribution in preclinical and clinical studies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Using Sapphire PK/Distribution Model, predict CSF half-life and parenchymal penetration depth for each candidate given 2′-MOE gapmer chemistry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Model rostral-caudal distribution gradient from lumbar intrathecal injection and predict target cell type uptake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Estimate CSF residence time and predict elimination kinetics based on published IT-ASO benchmarks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Predicted CSF half-life (hours) for each candidate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Parenchymal penetration depth model (distance from CSF into brain/spinal cord tissue)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Rostral-caudal distribution curves (predicted concentration profiles over time)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Cellular uptake predictions for target CNS cell types (% of available ASO internalized)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or CSV with per-candidate PK parameters, distribution models, and uptake predictions</w:t>
      </w:r>
    </w:p>
    <w:p>
      <w:pPr>
        <w:pStyle w:val="Heading2"/>
      </w:pPr>
      <w:r>
        <w:t xml:space="preserve">Stage 5: Efficacy &amp; Off-Target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Predict knockdown efficacy for top candidates and screen for off-target binding in the CNS-expressed transcriptome to minimize unintended splicing correction or mRNA degradation in non-target genes.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Top-ranked candidates (from Stage 3–4 filtering)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Y target mRNA and secondary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transcriptome reference (brain, spinal cord isoforms)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RNase H Site Prediction: </w:t>
      </w:r>
      <w:r>
        <w:rPr>
          <w:rFonts w:ascii="Arial" w:cs="Arial" w:eastAsia="Arial" w:hAnsi="Arial"/>
          <w:sz w:val="24"/>
          <w:szCs w:val="24"/>
        </w:rPr>
        <w:t xml:space="preserve">Identify RNase H cleavage sites on target mRNA; estimate relative efficacy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BLAST/Bowtie2: </w:t>
      </w:r>
      <w:r>
        <w:rPr>
          <w:rFonts w:ascii="Arial" w:cs="Arial" w:eastAsia="Arial" w:hAnsi="Arial"/>
          <w:sz w:val="24"/>
          <w:szCs w:val="24"/>
        </w:rPr>
        <w:t xml:space="preserve">Align candidates against CNS transcriptome (brain, spinal cord GTEx); report potential off-targets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Efficacy Dose-Response Predictions: </w:t>
      </w:r>
      <w:r>
        <w:rPr>
          <w:rFonts w:ascii="Arial" w:cs="Arial" w:eastAsia="Arial" w:hAnsi="Arial"/>
          <w:sz w:val="24"/>
          <w:szCs w:val="24"/>
        </w:rPr>
        <w:t xml:space="preserve">Proprietary model predicting knockdown % as function of ASO concentration and chemistry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DepMap Essentiality: </w:t>
      </w:r>
      <w:r>
        <w:rPr>
          <w:rFonts w:ascii="Arial" w:cs="Arial" w:eastAsia="Arial" w:hAnsi="Arial"/>
          <w:sz w:val="24"/>
          <w:szCs w:val="24"/>
        </w:rPr>
        <w:t xml:space="preserve">Cross-reference potential off-targets with CNS cell essentiality to assess safety impact of inadvertent knockdown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 RNase H cleavage sites for each top candidate on gene Y target mRNA and estimate relative efficacy rank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BLAST each candidate against CNS transcriptome (GENCODE brain/spinal cord genes) with mismatch tolerance ≤2; flag potential off-targets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 dose-response knockdown curves (% target mRNA remaining) using Quiver; identify EC50 for each candidate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RNase H cleavage site coordinates and predicted efficacy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alignment report (BLAST results with mismatches, off-target mRNA identities, expression in CNS)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Predicted dose-response curves and EC50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Off-target safety assessment (essentiality, CNS expression, potential for adverse phenotype)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or TSV with per-candidate efficacy predictions, off-target summaries, and safety assessments</w:t>
      </w:r>
    </w:p>
    <w:p>
      <w:pPr>
        <w:pStyle w:val="Heading2"/>
      </w:pPr>
      <w:r>
        <w:t xml:space="preserve">Stage 6: Final Selection &amp; IT-Specific Safety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Select the top 3–5 final ASO candidates with the lowest combined immune activation risk, optimal pharmacokinetics, and highest efficacy. Generate comprehensive IT-specific dosing recommendations and a detailed safety monitoring plan for preclinical and clinical development.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Full Stage 3–5 outputs: immune scoring, PK predictions, efficacy &amp; off-target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dosing precedents (nusinersen, tofersen IT protocols)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and competitive positioning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Sapphire ASO Scoring Engine: </w:t>
      </w:r>
      <w:r>
        <w:rPr>
          <w:rFonts w:ascii="Arial" w:cs="Arial" w:eastAsia="Arial" w:hAnsi="Arial"/>
          <w:sz w:val="24"/>
          <w:szCs w:val="24"/>
        </w:rPr>
        <w:t xml:space="preserve">Integrated multi-criteria scoring: immune risk, PK, efficacy, off-target burden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Confidence Scoring: </w:t>
      </w:r>
      <w:r>
        <w:rPr>
          <w:rFonts w:ascii="Arial" w:cs="Arial" w:eastAsia="Arial" w:hAnsi="Arial"/>
          <w:sz w:val="24"/>
          <w:szCs w:val="24"/>
        </w:rPr>
        <w:t xml:space="preserve">Confidence metrics for each prediction (immune, PK, efficacy)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Published IT-ASO Clinical Safety Benchmarks: </w:t>
      </w:r>
      <w:r>
        <w:rPr>
          <w:rFonts w:ascii="Arial" w:cs="Arial" w:eastAsia="Arial" w:hAnsi="Arial"/>
          <w:sz w:val="24"/>
          <w:szCs w:val="24"/>
        </w:rPr>
        <w:t xml:space="preserve">Nusinersen, tofersen safety data (CSF biomarkers, immune monitoring, dosing escalation protocols)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Lens.org Patent Landscape: </w:t>
      </w:r>
      <w:r>
        <w:rPr>
          <w:rFonts w:ascii="Arial" w:cs="Arial" w:eastAsia="Arial" w:hAnsi="Arial"/>
          <w:sz w:val="24"/>
          <w:szCs w:val="24"/>
        </w:rPr>
        <w:t xml:space="preserve">Identify existing patents on similar IT-ASO sequences, design rules, and target genes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 all candidates by composite Sapphire score (immune risk 40%, PK optimization 20%, efficacy 25%, off-target burden 15%); select top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 each top 5 candidate, generate estimated dosing range (μg/kg IT) based on nusinersen/tofersen precedent and predicted PK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Search Lens.org for existing patents covering IT-ASO sequences, gene Y targets, and design chemistry; assess freedom-to-operate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Ranked final candidate list (top 3–5 ASO sequences) with composite Sapphire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Per-candidate detailed rationale: immune profile, PK profile, efficacy prediction, off-target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dosing ranges and escalation protocols aligned with IT-ASO clinical precedent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safety monitoring plan: CSF biomarkers (pleocytosis, inflammatory cytokines), clinical assessments, immune monitoring cadence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Freedom-to-operate assessment and patent landscape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JSON or structured document with final candidate summaries, dosing tables, safety protocols, and IP landscape report</w:t>
      </w:r>
    </w:p>
    <w:p>
      <w:pPr>
        <w:pStyle w:val="Heading2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REST API: Gene transcript retrieval, exon boundary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RefSeq: Curated reference sequences and splicing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GENCODE: Comprehensive transcript and annotation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(Genotype-Tissue Expression): CNS tissue expression quantification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RNAfold (ViennaRNA): RNA secondary structure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ASO Design Module (IT mode): IT-optimized ASO design and enumeration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CpG Motif Scanner: Identify CpG dinucleotides (TLR9 ligands)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GU-Rich Motif Scanner: Identify GU-rich sequences (TLR7/8 ligands)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OligoCalc: Oligonucleotide Tm, GC content, and composition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TLR Ligand Prediction Models: Machine learning models for TLR9/7/8 binding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Immunostimulatory Motif Databases: Curated motifs for TLR3, RIG-I, MDA5, STING pathways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Immune Response Data: Proprietary immunogenicity scores for ASO chemistries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Complement Activation Prediction Models: Classical and alternative pathway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IT-ASO Pharmacokinetic Models: Clinical and preclinical IT-ASO PK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Sapphire PK/Distribution Model: Proprietary CSF pharmacokinetics and tissue penetration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ASO Chemistry Atlas: Backbone chemistry parameters and biophysical coefficients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BLAST/Bowtie2: Sequence alignment and off-target mapping against CNS transcriptome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RNase H Site Prediction: Identify RNase H cleavage sites and predict relative efficacy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Efficacy Dose-Response Predictions: Knockdown kinetics and EC50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DepMap Essentiality: Off-target gene essentiality assessment in CNS cell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Sapphire ASO Scoring Engine: Multi-criteria integrated candidate scoring and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Confidence Scoring: Confidence metrics for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Lens.org Patent Landscape: IP landscape searching and freedom-to-operate assessment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2026-02-19T02:40:52.068Z</dcterms:created>
  <dcterms:modified xsi:type="dcterms:W3CDTF">2026-02-19T02:40:52.068Z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