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64"/>
        </w:rPr>
        <w:t>Sapphire Pipeline Workflow</w:t>
      </w:r>
    </w:p>
    <w:p>
      <w:pPr>
        <w:pStyle w:val="Heading2"/>
      </w:pPr>
      <w:r>
        <w:rPr>
          <w:rFonts w:ascii="Arial" w:hAnsi="Arial"/>
          <w:b/>
          <w:sz w:val="56"/>
        </w:rPr>
        <w:t>Pipeline 027: ASO Toxicity Risk Prediction for Multiple Candidates</w:t>
      </w:r>
    </w:p>
    <w:p>
      <w:r>
        <w:rPr>
          <w:rFonts w:ascii="Arial" w:hAnsi="Arial"/>
          <w:sz w:val="48"/>
        </w:rPr>
        <w:t>Predict toxicity risk for the top 10 ASO candidates targeting gene Z using known ASO safety datasets.</w:t>
      </w:r>
    </w:p>
    <w:p>
      <w:pPr>
        <w:pStyle w:val="Heading2"/>
      </w:pPr>
      <w:r>
        <w:rPr>
          <w:rFonts w:ascii="Arial" w:hAnsi="Arial"/>
          <w:b/>
          <w:sz w:val="56"/>
        </w:rPr>
        <w:t>Pipeline Overview</w:t>
      </w:r>
    </w:p>
    <w:p>
      <w:r>
        <w:rPr>
          <w:rFonts w:ascii="Arial" w:hAnsi="Arial"/>
          <w:sz w:val="48"/>
        </w:rPr>
        <w:t>This pipeline performs comprehensive toxicity risk assessment for multiple ASO candidates by systematically evaluating safety data across pharmacological, genetic, and phenotypic dimensions. The workflow integrates known ASO safety datasets with predictive modeling to quantify toxicity risks and enable evidence-based candidate selection.</w:t>
      </w:r>
    </w:p>
    <w:p>
      <w:r>
        <w:rPr>
          <w:rFonts w:ascii="Arial" w:hAnsi="Arial"/>
          <w:sz w:val="48"/>
        </w:rPr>
        <w:t>The analysis encompasses off-target effects, immunotoxicity, hepatotoxicity, nephrotoxicity, neurological effects, and animal species-specific responses. Each candidate receives a detailed risk profile enabling informed preclinical development prioritization and toxicology study design.</w:t>
      </w:r>
    </w:p>
    <w:p>
      <w:pPr>
        <w:pStyle w:val="Heading2"/>
      </w:pPr>
      <w:r>
        <w:rPr>
          <w:rFonts w:ascii="Arial" w:hAnsi="Arial"/>
          <w:b/>
          <w:sz w:val="56"/>
        </w:rPr>
        <w:t>Stage 1: Candidate Characterization and Data Integration</w:t>
      </w:r>
    </w:p>
    <w:p>
      <w:r>
        <w:rPr>
          <w:rFonts w:ascii="Arial" w:hAnsi="Arial"/>
          <w:b/>
          <w:sz w:val="48"/>
        </w:rPr>
        <w:t xml:space="preserve">Purpose: </w:t>
      </w:r>
    </w:p>
    <w:p>
      <w:pPr>
        <w:pStyle w:val="ListBullet"/>
      </w:pPr>
      <w:r>
        <w:rPr>
          <w:rFonts w:ascii="Arial" w:hAnsi="Arial"/>
          <w:sz w:val="48"/>
        </w:rPr>
        <w:t>Comprehensively characterize the top 10 ASO candidates and integrate all available safety-relevant data from multiple databases and published literature.</w:t>
      </w:r>
    </w:p>
    <w:p>
      <w:r>
        <w:rPr>
          <w:rFonts w:ascii="Arial" w:hAnsi="Arial"/>
          <w:b/>
          <w:sz w:val="48"/>
        </w:rPr>
        <w:t xml:space="preserve">Inputs: </w:t>
      </w:r>
    </w:p>
    <w:p>
      <w:pPr>
        <w:pStyle w:val="ListBullet"/>
      </w:pPr>
      <w:r>
        <w:rPr>
          <w:rFonts w:ascii="Arial" w:hAnsi="Arial"/>
          <w:sz w:val="48"/>
        </w:rPr>
        <w:t>Top 10 ASO candidates targeting gene Z</w:t>
      </w:r>
    </w:p>
    <w:p>
      <w:pPr>
        <w:pStyle w:val="ListBullet"/>
      </w:pPr>
      <w:r>
        <w:rPr>
          <w:rFonts w:ascii="Arial" w:hAnsi="Arial"/>
          <w:sz w:val="48"/>
        </w:rPr>
        <w:t>Sequence information and chemical modification details</w:t>
      </w:r>
    </w:p>
    <w:p>
      <w:pPr>
        <w:pStyle w:val="ListBullet"/>
      </w:pPr>
      <w:r>
        <w:rPr>
          <w:rFonts w:ascii="Arial" w:hAnsi="Arial"/>
          <w:sz w:val="48"/>
        </w:rPr>
        <w:t>Published ASO safety and toxicity literature</w:t>
      </w:r>
    </w:p>
    <w:p>
      <w:pPr>
        <w:pStyle w:val="ListBullet"/>
      </w:pPr>
      <w:r>
        <w:rPr>
          <w:rFonts w:ascii="Arial" w:hAnsi="Arial"/>
          <w:sz w:val="48"/>
        </w:rPr>
        <w:t>Off-target sequence prediction data</w:t>
      </w:r>
    </w:p>
    <w:p>
      <w:pPr>
        <w:pStyle w:val="ListBullet"/>
      </w:pPr>
      <w:r>
        <w:rPr>
          <w:rFonts w:ascii="Arial" w:hAnsi="Arial"/>
          <w:sz w:val="48"/>
        </w:rPr>
        <w:t>Known safety signals from clinically tested ASOs</w:t>
      </w:r>
    </w:p>
    <w:p>
      <w:pPr>
        <w:pStyle w:val="ListBullet"/>
      </w:pPr>
      <w:r>
        <w:rPr>
          <w:rFonts w:ascii="Arial" w:hAnsi="Arial"/>
          <w:sz w:val="48"/>
        </w:rPr>
        <w:t>Animal toxicology database summaries</w:t>
      </w:r>
    </w:p>
    <w:p>
      <w:r>
        <w:rPr>
          <w:rFonts w:ascii="Arial" w:hAnsi="Arial"/>
          <w:b/>
          <w:sz w:val="48"/>
        </w:rPr>
        <w:t xml:space="preserve">Tools &amp; Databases Called: </w:t>
      </w:r>
    </w:p>
    <w:p>
      <w:pPr>
        <w:pStyle w:val="ListBullet"/>
      </w:pPr>
      <w:r>
        <w:rPr>
          <w:rFonts w:ascii="Arial" w:hAnsi="Arial"/>
          <w:sz w:val="48"/>
        </w:rPr>
        <w:t>PubMed/EMBASE – Literature mining for safety data</w:t>
      </w:r>
    </w:p>
    <w:p>
      <w:pPr>
        <w:pStyle w:val="ListBullet"/>
      </w:pPr>
      <w:r>
        <w:rPr>
          <w:rFonts w:ascii="Arial" w:hAnsi="Arial"/>
          <w:sz w:val="48"/>
        </w:rPr>
        <w:t>ASO safety knowledge base (internal and external sources)</w:t>
      </w:r>
    </w:p>
    <w:p>
      <w:pPr>
        <w:pStyle w:val="ListBullet"/>
      </w:pPr>
      <w:r>
        <w:rPr>
          <w:rFonts w:ascii="Arial" w:hAnsi="Arial"/>
          <w:sz w:val="48"/>
        </w:rPr>
        <w:t>NCBI Sequence Database – Off-target characterization</w:t>
      </w:r>
    </w:p>
    <w:p>
      <w:pPr>
        <w:pStyle w:val="ListBullet"/>
      </w:pPr>
      <w:r>
        <w:rPr>
          <w:rFonts w:ascii="Arial" w:hAnsi="Arial"/>
          <w:sz w:val="48"/>
        </w:rPr>
        <w:t>FDA Adverse Event Reporting System (FAERS) – Clinical safety data</w:t>
      </w:r>
    </w:p>
    <w:p>
      <w:pPr>
        <w:pStyle w:val="ListBullet"/>
      </w:pPr>
      <w:r>
        <w:rPr>
          <w:rFonts w:ascii="Arial" w:hAnsi="Arial"/>
          <w:sz w:val="48"/>
        </w:rPr>
        <w:t>DrugBank – Drug safety and toxicity information</w:t>
      </w:r>
    </w:p>
    <w:p>
      <w:pPr>
        <w:pStyle w:val="ListBullet"/>
      </w:pPr>
      <w:r>
        <w:rPr>
          <w:rFonts w:ascii="Arial" w:hAnsi="Arial"/>
          <w:sz w:val="48"/>
        </w:rPr>
        <w:t>National Library of Medicine – Integrated safety resources</w:t>
      </w:r>
    </w:p>
    <w:p>
      <w:pPr>
        <w:pStyle w:val="ListBullet"/>
      </w:pPr>
      <w:r>
        <w:rPr>
          <w:rFonts w:ascii="Arial" w:hAnsi="Arial"/>
          <w:sz w:val="48"/>
        </w:rPr>
        <w:t>Quiver perturbation databases – Gene perturbation toxicity patterns</w:t>
      </w:r>
    </w:p>
    <w:p>
      <w:r>
        <w:rPr>
          <w:rFonts w:ascii="Arial" w:hAnsi="Arial"/>
          <w:b/>
          <w:sz w:val="48"/>
        </w:rPr>
        <w:t xml:space="preserve">Exemplary Sub-Prompts: </w:t>
      </w:r>
    </w:p>
    <w:p>
      <w:pPr>
        <w:pStyle w:val="ListBullet"/>
      </w:pPr>
      <w:r>
        <w:rPr>
          <w:rFonts w:ascii="Arial" w:hAnsi="Arial"/>
          <w:sz w:val="48"/>
        </w:rPr>
        <w:t>Retrieve published toxicity data for comparable ASO sequences.</w:t>
      </w:r>
    </w:p>
    <w:p>
      <w:pPr>
        <w:pStyle w:val="ListBullet"/>
      </w:pPr>
      <w:r>
        <w:rPr>
          <w:rFonts w:ascii="Arial" w:hAnsi="Arial"/>
          <w:sz w:val="48"/>
        </w:rPr>
        <w:t>Extract safety signals from FDA FAERS and clinical trial databases.</w:t>
      </w:r>
    </w:p>
    <w:p>
      <w:pPr>
        <w:pStyle w:val="ListBullet"/>
      </w:pPr>
      <w:r>
        <w:rPr>
          <w:rFonts w:ascii="Arial" w:hAnsi="Arial"/>
          <w:sz w:val="48"/>
        </w:rPr>
        <w:t>Identify known toxicity mechanisms for each candidate's modification pattern.</w:t>
      </w:r>
    </w:p>
    <w:p>
      <w:pPr>
        <w:pStyle w:val="ListBullet"/>
      </w:pPr>
      <w:r>
        <w:rPr>
          <w:rFonts w:ascii="Arial" w:hAnsi="Arial"/>
          <w:sz w:val="48"/>
        </w:rPr>
        <w:t>Compile literature safety data for all 10 candidates.</w:t>
      </w:r>
    </w:p>
    <w:p>
      <w:pPr>
        <w:pStyle w:val="ListBullet"/>
      </w:pPr>
      <w:r>
        <w:rPr>
          <w:rFonts w:ascii="Arial" w:hAnsi="Arial"/>
          <w:sz w:val="48"/>
        </w:rPr>
        <w:t>Cross-reference against known ASO safety benchmarks.</w:t>
      </w:r>
    </w:p>
    <w:p>
      <w:r>
        <w:rPr>
          <w:rFonts w:ascii="Arial" w:hAnsi="Arial"/>
          <w:b/>
          <w:sz w:val="48"/>
        </w:rPr>
        <w:t xml:space="preserve">Expected Outputs: </w:t>
      </w:r>
    </w:p>
    <w:p>
      <w:pPr>
        <w:pStyle w:val="ListBullet"/>
      </w:pPr>
      <w:r>
        <w:rPr>
          <w:rFonts w:ascii="Arial" w:hAnsi="Arial"/>
          <w:sz w:val="48"/>
        </w:rPr>
        <w:t>Comprehensive safety data matrix for all 10 candidates</w:t>
      </w:r>
    </w:p>
    <w:p>
      <w:pPr>
        <w:pStyle w:val="ListBullet"/>
      </w:pPr>
      <w:r>
        <w:rPr>
          <w:rFonts w:ascii="Arial" w:hAnsi="Arial"/>
          <w:sz w:val="48"/>
        </w:rPr>
        <w:t>Literature-derived toxicity risk signals by category</w:t>
      </w:r>
    </w:p>
    <w:p>
      <w:pPr>
        <w:pStyle w:val="ListBullet"/>
      </w:pPr>
      <w:r>
        <w:rPr>
          <w:rFonts w:ascii="Arial" w:hAnsi="Arial"/>
          <w:sz w:val="48"/>
        </w:rPr>
        <w:t>Clinical safety data from comparable ASO programs</w:t>
      </w:r>
    </w:p>
    <w:p>
      <w:pPr>
        <w:pStyle w:val="ListBullet"/>
      </w:pPr>
      <w:r>
        <w:rPr>
          <w:rFonts w:ascii="Arial" w:hAnsi="Arial"/>
          <w:sz w:val="48"/>
        </w:rPr>
        <w:t>Off-target characterization for each candidate</w:t>
      </w:r>
    </w:p>
    <w:p>
      <w:pPr>
        <w:pStyle w:val="ListBullet"/>
      </w:pPr>
      <w:r>
        <w:rPr>
          <w:rFonts w:ascii="Arial" w:hAnsi="Arial"/>
          <w:sz w:val="48"/>
        </w:rPr>
        <w:t>Known toxicity mechanisms relevant to each modification pattern</w:t>
      </w:r>
    </w:p>
    <w:p>
      <w:pPr>
        <w:pStyle w:val="ListBullet"/>
      </w:pPr>
      <w:r>
        <w:rPr>
          <w:rFonts w:ascii="Arial" w:hAnsi="Arial"/>
          <w:sz w:val="48"/>
        </w:rPr>
        <w:t>Baseline safety risk categories (Low, Medium, High, Unknown)</w:t>
      </w:r>
    </w:p>
    <w:p>
      <w:r>
        <w:rPr>
          <w:rFonts w:ascii="Arial" w:hAnsi="Arial"/>
          <w:b/>
          <w:sz w:val="48"/>
        </w:rPr>
        <w:t xml:space="preserve">Format: </w:t>
      </w:r>
    </w:p>
    <w:p>
      <w:pPr>
        <w:pStyle w:val="ListBullet"/>
      </w:pPr>
      <w:r>
        <w:rPr>
          <w:rFonts w:ascii="Arial" w:hAnsi="Arial"/>
          <w:sz w:val="48"/>
        </w:rPr>
        <w:t>Safety data summary table; comprehensive literature review; cross-candidate comparison matrix.</w:t>
      </w:r>
    </w:p>
    <w:p>
      <w:pPr>
        <w:pStyle w:val="Heading2"/>
      </w:pPr>
      <w:r>
        <w:rPr>
          <w:rFonts w:ascii="Arial" w:hAnsi="Arial"/>
          <w:b/>
          <w:sz w:val="56"/>
        </w:rPr>
        <w:t>Stage 2: Off-Target-Induced Toxicity Assessment</w:t>
      </w:r>
    </w:p>
    <w:p>
      <w:r>
        <w:rPr>
          <w:rFonts w:ascii="Arial" w:hAnsi="Arial"/>
          <w:b/>
          <w:sz w:val="48"/>
        </w:rPr>
        <w:t xml:space="preserve">Purpose: </w:t>
      </w:r>
    </w:p>
    <w:p>
      <w:pPr>
        <w:pStyle w:val="ListBullet"/>
      </w:pPr>
      <w:r>
        <w:rPr>
          <w:rFonts w:ascii="Arial" w:hAnsi="Arial"/>
          <w:sz w:val="48"/>
        </w:rPr>
        <w:t>Predict toxicity risk from off-target knockdown effects by identifying potentially harmful gene interactions and quantifying functional impact on critical pathways.</w:t>
      </w:r>
    </w:p>
    <w:p>
      <w:r>
        <w:rPr>
          <w:rFonts w:ascii="Arial" w:hAnsi="Arial"/>
          <w:b/>
          <w:sz w:val="48"/>
        </w:rPr>
        <w:t xml:space="preserve">Inputs: </w:t>
      </w:r>
    </w:p>
    <w:p>
      <w:pPr>
        <w:pStyle w:val="ListBullet"/>
      </w:pPr>
      <w:r>
        <w:rPr>
          <w:rFonts w:ascii="Arial" w:hAnsi="Arial"/>
          <w:sz w:val="48"/>
        </w:rPr>
        <w:t>Complete off-target prediction data for all 10 candidates</w:t>
      </w:r>
    </w:p>
    <w:p>
      <w:pPr>
        <w:pStyle w:val="ListBullet"/>
      </w:pPr>
      <w:r>
        <w:rPr>
          <w:rFonts w:ascii="Arial" w:hAnsi="Arial"/>
          <w:sz w:val="48"/>
        </w:rPr>
        <w:t>Human genome sequence with functional annotations</w:t>
      </w:r>
    </w:p>
    <w:p>
      <w:pPr>
        <w:pStyle w:val="ListBullet"/>
      </w:pPr>
      <w:r>
        <w:rPr>
          <w:rFonts w:ascii="Arial" w:hAnsi="Arial"/>
          <w:sz w:val="48"/>
        </w:rPr>
        <w:t>Gene function and tissue-specific expression databases</w:t>
      </w:r>
    </w:p>
    <w:p>
      <w:pPr>
        <w:pStyle w:val="ListBullet"/>
      </w:pPr>
      <w:r>
        <w:rPr>
          <w:rFonts w:ascii="Arial" w:hAnsi="Arial"/>
          <w:sz w:val="48"/>
        </w:rPr>
        <w:t>Toxicity pathway information (known adverse genes)</w:t>
      </w:r>
    </w:p>
    <w:p>
      <w:pPr>
        <w:pStyle w:val="ListBullet"/>
      </w:pPr>
      <w:r>
        <w:rPr>
          <w:rFonts w:ascii="Arial" w:hAnsi="Arial"/>
          <w:sz w:val="48"/>
        </w:rPr>
        <w:t>Quiver EP CRISPR atlas phenotype data</w:t>
      </w:r>
    </w:p>
    <w:p>
      <w:r>
        <w:rPr>
          <w:rFonts w:ascii="Arial" w:hAnsi="Arial"/>
          <w:b/>
          <w:sz w:val="48"/>
        </w:rPr>
        <w:t xml:space="preserve">Tools &amp; Databases Called: </w:t>
      </w:r>
    </w:p>
    <w:p>
      <w:pPr>
        <w:pStyle w:val="ListBullet"/>
      </w:pPr>
      <w:r>
        <w:rPr>
          <w:rFonts w:ascii="Arial" w:hAnsi="Arial"/>
          <w:sz w:val="48"/>
        </w:rPr>
        <w:t>Off-target sequence prediction tool (CRISPOR, OT-score)</w:t>
      </w:r>
    </w:p>
    <w:p>
      <w:pPr>
        <w:pStyle w:val="ListBullet"/>
      </w:pPr>
      <w:r>
        <w:rPr>
          <w:rFonts w:ascii="Arial" w:hAnsi="Arial"/>
          <w:sz w:val="48"/>
        </w:rPr>
        <w:t>Gene Ontology Database – Functional annotations</w:t>
      </w:r>
    </w:p>
    <w:p>
      <w:pPr>
        <w:pStyle w:val="ListBullet"/>
      </w:pPr>
      <w:r>
        <w:rPr>
          <w:rFonts w:ascii="Arial" w:hAnsi="Arial"/>
          <w:sz w:val="48"/>
        </w:rPr>
        <w:t>KEGG Pathway Database – Toxicologically relevant pathways</w:t>
      </w:r>
    </w:p>
    <w:p>
      <w:pPr>
        <w:pStyle w:val="ListBullet"/>
      </w:pPr>
      <w:r>
        <w:rPr>
          <w:rFonts w:ascii="Arial" w:hAnsi="Arial"/>
          <w:sz w:val="48"/>
        </w:rPr>
        <w:t>Reactome – Signaling and metabolic pathways</w:t>
      </w:r>
    </w:p>
    <w:p>
      <w:pPr>
        <w:pStyle w:val="ListBullet"/>
      </w:pPr>
      <w:r>
        <w:rPr>
          <w:rFonts w:ascii="Arial" w:hAnsi="Arial"/>
          <w:sz w:val="48"/>
        </w:rPr>
        <w:t>Quiver phenotype correlation module</w:t>
      </w:r>
    </w:p>
    <w:p>
      <w:pPr>
        <w:pStyle w:val="ListBullet"/>
      </w:pPr>
      <w:r>
        <w:rPr>
          <w:rFonts w:ascii="Arial" w:hAnsi="Arial"/>
          <w:sz w:val="48"/>
        </w:rPr>
        <w:t>Tissue expression database (GTEx, HPA)</w:t>
      </w:r>
    </w:p>
    <w:p>
      <w:pPr>
        <w:pStyle w:val="ListBullet"/>
      </w:pPr>
      <w:r>
        <w:rPr>
          <w:rFonts w:ascii="Arial" w:hAnsi="Arial"/>
          <w:sz w:val="48"/>
        </w:rPr>
        <w:t>Toxicity mechanism database (organ-specific adverse genes)</w:t>
      </w:r>
    </w:p>
    <w:p>
      <w:r>
        <w:rPr>
          <w:rFonts w:ascii="Arial" w:hAnsi="Arial"/>
          <w:b/>
          <w:sz w:val="48"/>
        </w:rPr>
        <w:t xml:space="preserve">Exemplary Sub-Prompts: </w:t>
      </w:r>
    </w:p>
    <w:p>
      <w:pPr>
        <w:pStyle w:val="ListBullet"/>
      </w:pPr>
      <w:r>
        <w:rPr>
          <w:rFonts w:ascii="Arial" w:hAnsi="Arial"/>
          <w:sz w:val="48"/>
        </w:rPr>
        <w:t>Score potential off-targets by functional impact on essential pathways.</w:t>
      </w:r>
    </w:p>
    <w:p>
      <w:pPr>
        <w:pStyle w:val="ListBullet"/>
      </w:pPr>
      <w:r>
        <w:rPr>
          <w:rFonts w:ascii="Arial" w:hAnsi="Arial"/>
          <w:sz w:val="48"/>
        </w:rPr>
        <w:t>Identify off-targets in genes known to cause toxicity when knocked down.</w:t>
      </w:r>
    </w:p>
    <w:p>
      <w:pPr>
        <w:pStyle w:val="ListBullet"/>
      </w:pPr>
      <w:r>
        <w:rPr>
          <w:rFonts w:ascii="Arial" w:hAnsi="Arial"/>
          <w:sz w:val="48"/>
        </w:rPr>
        <w:t>Map off-target effects to organ toxicity risk (liver, kidney, nervous system).</w:t>
      </w:r>
    </w:p>
    <w:p>
      <w:pPr>
        <w:pStyle w:val="ListBullet"/>
      </w:pPr>
      <w:r>
        <w:rPr>
          <w:rFonts w:ascii="Arial" w:hAnsi="Arial"/>
          <w:sz w:val="48"/>
        </w:rPr>
        <w:t>Quantify tissue-specific off-target activation by expression patterns.</w:t>
      </w:r>
    </w:p>
    <w:p>
      <w:pPr>
        <w:pStyle w:val="ListBullet"/>
      </w:pPr>
      <w:r>
        <w:rPr>
          <w:rFonts w:ascii="Arial" w:hAnsi="Arial"/>
          <w:sz w:val="48"/>
        </w:rPr>
        <w:t>Rank candidates by overall off-target toxicity potential.</w:t>
      </w:r>
    </w:p>
    <w:p>
      <w:r>
        <w:rPr>
          <w:rFonts w:ascii="Arial" w:hAnsi="Arial"/>
          <w:b/>
          <w:sz w:val="48"/>
        </w:rPr>
        <w:t xml:space="preserve">Expected Outputs: </w:t>
      </w:r>
    </w:p>
    <w:p>
      <w:pPr>
        <w:pStyle w:val="ListBullet"/>
      </w:pPr>
      <w:r>
        <w:rPr>
          <w:rFonts w:ascii="Arial" w:hAnsi="Arial"/>
          <w:sz w:val="48"/>
        </w:rPr>
        <w:t>Off-target toxicity risk assessment for all 10 candidates</w:t>
      </w:r>
    </w:p>
    <w:p>
      <w:pPr>
        <w:pStyle w:val="ListBullet"/>
      </w:pPr>
      <w:r>
        <w:rPr>
          <w:rFonts w:ascii="Arial" w:hAnsi="Arial"/>
          <w:sz w:val="48"/>
        </w:rPr>
        <w:t>Critical off-target genes flagged for each candidate</w:t>
      </w:r>
    </w:p>
    <w:p>
      <w:pPr>
        <w:pStyle w:val="ListBullet"/>
      </w:pPr>
      <w:r>
        <w:rPr>
          <w:rFonts w:ascii="Arial" w:hAnsi="Arial"/>
          <w:sz w:val="48"/>
        </w:rPr>
        <w:t>Organ-specific toxicity risk stratification</w:t>
      </w:r>
    </w:p>
    <w:p>
      <w:pPr>
        <w:pStyle w:val="ListBullet"/>
      </w:pPr>
      <w:r>
        <w:rPr>
          <w:rFonts w:ascii="Arial" w:hAnsi="Arial"/>
          <w:sz w:val="48"/>
        </w:rPr>
        <w:t>Off-target pathway impact scores</w:t>
      </w:r>
    </w:p>
    <w:p>
      <w:pPr>
        <w:pStyle w:val="ListBullet"/>
      </w:pPr>
      <w:r>
        <w:rPr>
          <w:rFonts w:ascii="Arial" w:hAnsi="Arial"/>
          <w:sz w:val="48"/>
        </w:rPr>
        <w:t>Candidate ranking by off-target toxicity potential</w:t>
      </w:r>
    </w:p>
    <w:p>
      <w:pPr>
        <w:pStyle w:val="ListBullet"/>
      </w:pPr>
      <w:r>
        <w:rPr>
          <w:rFonts w:ascii="Arial" w:hAnsi="Arial"/>
          <w:sz w:val="48"/>
        </w:rPr>
        <w:t>Recommendations for sequence modification or exclusion</w:t>
      </w:r>
    </w:p>
    <w:p>
      <w:r>
        <w:rPr>
          <w:rFonts w:ascii="Arial" w:hAnsi="Arial"/>
          <w:b/>
          <w:sz w:val="48"/>
        </w:rPr>
        <w:t xml:space="preserve">Format: </w:t>
      </w:r>
    </w:p>
    <w:p>
      <w:pPr>
        <w:pStyle w:val="ListBullet"/>
      </w:pPr>
      <w:r>
        <w:rPr>
          <w:rFonts w:ascii="Arial" w:hAnsi="Arial"/>
          <w:sz w:val="48"/>
        </w:rPr>
        <w:t>Off-target risk heatmap; pathway impact analysis; organ toxicity risk matrix; candidate ranking by off-target risk.</w:t>
      </w:r>
    </w:p>
    <w:p>
      <w:pPr>
        <w:pStyle w:val="Heading2"/>
      </w:pPr>
      <w:r>
        <w:rPr>
          <w:rFonts w:ascii="Arial" w:hAnsi="Arial"/>
          <w:b/>
          <w:sz w:val="56"/>
        </w:rPr>
        <w:t>Stage 3: Immunotoxicity and Innate Immune Response Prediction</w:t>
      </w:r>
    </w:p>
    <w:p>
      <w:r>
        <w:rPr>
          <w:rFonts w:ascii="Arial" w:hAnsi="Arial"/>
          <w:b/>
          <w:sz w:val="48"/>
        </w:rPr>
        <w:t xml:space="preserve">Purpose: </w:t>
      </w:r>
    </w:p>
    <w:p>
      <w:pPr>
        <w:pStyle w:val="ListBullet"/>
      </w:pPr>
      <w:r>
        <w:rPr>
          <w:rFonts w:ascii="Arial" w:hAnsi="Arial"/>
          <w:sz w:val="48"/>
        </w:rPr>
        <w:t>Predict immunotoxicity risk by assessing innate immune activation potential, inflammatory cytokine induction, and immune cell infiltration patterns.</w:t>
      </w:r>
    </w:p>
    <w:p>
      <w:r>
        <w:rPr>
          <w:rFonts w:ascii="Arial" w:hAnsi="Arial"/>
          <w:b/>
          <w:sz w:val="48"/>
        </w:rPr>
        <w:t xml:space="preserve">Inputs: </w:t>
      </w:r>
    </w:p>
    <w:p>
      <w:pPr>
        <w:pStyle w:val="ListBullet"/>
      </w:pPr>
      <w:r>
        <w:rPr>
          <w:rFonts w:ascii="Arial" w:hAnsi="Arial"/>
          <w:sz w:val="48"/>
        </w:rPr>
        <w:t>ASO sequence and chemistry data for all 10 candidates</w:t>
      </w:r>
    </w:p>
    <w:p>
      <w:pPr>
        <w:pStyle w:val="ListBullet"/>
      </w:pPr>
      <w:r>
        <w:rPr>
          <w:rFonts w:ascii="Arial" w:hAnsi="Arial"/>
          <w:sz w:val="48"/>
        </w:rPr>
        <w:t>Innate immune activation databases (TLR pathways)</w:t>
      </w:r>
    </w:p>
    <w:p>
      <w:pPr>
        <w:pStyle w:val="ListBullet"/>
      </w:pPr>
      <w:r>
        <w:rPr>
          <w:rFonts w:ascii="Arial" w:hAnsi="Arial"/>
          <w:sz w:val="48"/>
        </w:rPr>
        <w:t>Pro-inflammatory cytokine response datasets</w:t>
      </w:r>
    </w:p>
    <w:p>
      <w:pPr>
        <w:pStyle w:val="ListBullet"/>
      </w:pPr>
      <w:r>
        <w:rPr>
          <w:rFonts w:ascii="Arial" w:hAnsi="Arial"/>
          <w:sz w:val="48"/>
        </w:rPr>
        <w:t>Known ASO immunotoxicity mechanisms</w:t>
      </w:r>
    </w:p>
    <w:p>
      <w:pPr>
        <w:pStyle w:val="ListBullet"/>
      </w:pPr>
      <w:r>
        <w:rPr>
          <w:rFonts w:ascii="Arial" w:hAnsi="Arial"/>
          <w:sz w:val="48"/>
        </w:rPr>
        <w:t>Species-specific immune response patterns</w:t>
      </w:r>
    </w:p>
    <w:p>
      <w:pPr>
        <w:pStyle w:val="ListBullet"/>
      </w:pPr>
      <w:r>
        <w:rPr>
          <w:rFonts w:ascii="Arial" w:hAnsi="Arial"/>
          <w:sz w:val="48"/>
        </w:rPr>
        <w:t>Immune cell infiltration and activation signatures</w:t>
      </w:r>
    </w:p>
    <w:p>
      <w:r>
        <w:rPr>
          <w:rFonts w:ascii="Arial" w:hAnsi="Arial"/>
          <w:b/>
          <w:sz w:val="48"/>
        </w:rPr>
        <w:t xml:space="preserve">Tools &amp; Databases Called: </w:t>
      </w:r>
    </w:p>
    <w:p>
      <w:pPr>
        <w:pStyle w:val="ListBullet"/>
      </w:pPr>
      <w:r>
        <w:rPr>
          <w:rFonts w:ascii="Arial" w:hAnsi="Arial"/>
          <w:sz w:val="48"/>
        </w:rPr>
        <w:t>CpG detection algorithm – Immunogenic dinucleotide scoring</w:t>
      </w:r>
    </w:p>
    <w:p>
      <w:pPr>
        <w:pStyle w:val="ListBullet"/>
      </w:pPr>
      <w:r>
        <w:rPr>
          <w:rFonts w:ascii="Arial" w:hAnsi="Arial"/>
          <w:sz w:val="48"/>
        </w:rPr>
        <w:t>TLR pathway database (KEGG, Reactome, ImmPort)</w:t>
      </w:r>
    </w:p>
    <w:p>
      <w:pPr>
        <w:pStyle w:val="ListBullet"/>
      </w:pPr>
      <w:r>
        <w:rPr>
          <w:rFonts w:ascii="Arial" w:hAnsi="Arial"/>
          <w:sz w:val="48"/>
        </w:rPr>
        <w:t>Immune response prediction engine (machine learning)</w:t>
      </w:r>
    </w:p>
    <w:p>
      <w:pPr>
        <w:pStyle w:val="ListBullet"/>
      </w:pPr>
      <w:r>
        <w:rPr>
          <w:rFonts w:ascii="Arial" w:hAnsi="Arial"/>
          <w:sz w:val="48"/>
        </w:rPr>
        <w:t>Cytokine response simulator</w:t>
      </w:r>
    </w:p>
    <w:p>
      <w:pPr>
        <w:pStyle w:val="ListBullet"/>
      </w:pPr>
      <w:r>
        <w:rPr>
          <w:rFonts w:ascii="Arial" w:hAnsi="Arial"/>
          <w:sz w:val="48"/>
        </w:rPr>
        <w:t>Known ASO immunotoxicity mechanism database</w:t>
      </w:r>
    </w:p>
    <w:p>
      <w:pPr>
        <w:pStyle w:val="ListBullet"/>
      </w:pPr>
      <w:r>
        <w:rPr>
          <w:rFonts w:ascii="Arial" w:hAnsi="Arial"/>
          <w:sz w:val="48"/>
        </w:rPr>
        <w:t>Species comparison module (human vs. mouse vs. rat)</w:t>
      </w:r>
    </w:p>
    <w:p>
      <w:pPr>
        <w:pStyle w:val="ListBullet"/>
      </w:pPr>
      <w:r>
        <w:rPr>
          <w:rFonts w:ascii="Arial" w:hAnsi="Arial"/>
          <w:sz w:val="48"/>
        </w:rPr>
        <w:t>Pro-inflammatory biomarker predictor (IL-1β, TNF-α, IL-6)</w:t>
      </w:r>
    </w:p>
    <w:p>
      <w:r>
        <w:rPr>
          <w:rFonts w:ascii="Arial" w:hAnsi="Arial"/>
          <w:b/>
          <w:sz w:val="48"/>
        </w:rPr>
        <w:t xml:space="preserve">Exemplary Sub-Prompts: </w:t>
      </w:r>
    </w:p>
    <w:p>
      <w:pPr>
        <w:pStyle w:val="ListBullet"/>
      </w:pPr>
      <w:r>
        <w:rPr>
          <w:rFonts w:ascii="Arial" w:hAnsi="Arial"/>
          <w:sz w:val="48"/>
        </w:rPr>
        <w:t>Score CpG content and predicted TLR3/7/8 activation for each candidate.</w:t>
      </w:r>
    </w:p>
    <w:p>
      <w:pPr>
        <w:pStyle w:val="ListBullet"/>
      </w:pPr>
      <w:r>
        <w:rPr>
          <w:rFonts w:ascii="Arial" w:hAnsi="Arial"/>
          <w:sz w:val="48"/>
        </w:rPr>
        <w:t>Predict pro-inflammatory cytokine induction patterns.</w:t>
      </w:r>
    </w:p>
    <w:p>
      <w:pPr>
        <w:pStyle w:val="ListBullet"/>
      </w:pPr>
      <w:r>
        <w:rPr>
          <w:rFonts w:ascii="Arial" w:hAnsi="Arial"/>
          <w:sz w:val="48"/>
        </w:rPr>
        <w:t>Assess immune cell infiltration risk (lymphocytes, macrophages).</w:t>
      </w:r>
    </w:p>
    <w:p>
      <w:pPr>
        <w:pStyle w:val="ListBullet"/>
      </w:pPr>
      <w:r>
        <w:rPr>
          <w:rFonts w:ascii="Arial" w:hAnsi="Arial"/>
          <w:sz w:val="48"/>
        </w:rPr>
        <w:t>Compare species-specific immune responses.</w:t>
      </w:r>
    </w:p>
    <w:p>
      <w:pPr>
        <w:pStyle w:val="ListBullet"/>
      </w:pPr>
      <w:r>
        <w:rPr>
          <w:rFonts w:ascii="Arial" w:hAnsi="Arial"/>
          <w:sz w:val="48"/>
        </w:rPr>
        <w:t>Rank candidates by immunotoxicity potential.</w:t>
      </w:r>
    </w:p>
    <w:p>
      <w:r>
        <w:rPr>
          <w:rFonts w:ascii="Arial" w:hAnsi="Arial"/>
          <w:b/>
          <w:sz w:val="48"/>
        </w:rPr>
        <w:t xml:space="preserve">Expected Outputs: </w:t>
      </w:r>
    </w:p>
    <w:p>
      <w:pPr>
        <w:pStyle w:val="ListBullet"/>
      </w:pPr>
      <w:r>
        <w:rPr>
          <w:rFonts w:ascii="Arial" w:hAnsi="Arial"/>
          <w:sz w:val="48"/>
        </w:rPr>
        <w:t>Immunotoxicity risk scores for all 10 candidates</w:t>
      </w:r>
    </w:p>
    <w:p>
      <w:pPr>
        <w:pStyle w:val="ListBullet"/>
      </w:pPr>
      <w:r>
        <w:rPr>
          <w:rFonts w:ascii="Arial" w:hAnsi="Arial"/>
          <w:sz w:val="48"/>
        </w:rPr>
        <w:t>Innate immune activation predictions (TLR pathways)</w:t>
      </w:r>
    </w:p>
    <w:p>
      <w:pPr>
        <w:pStyle w:val="ListBullet"/>
      </w:pPr>
      <w:r>
        <w:rPr>
          <w:rFonts w:ascii="Arial" w:hAnsi="Arial"/>
          <w:sz w:val="48"/>
        </w:rPr>
        <w:t>Predicted pro-inflammatory cytokine profiles</w:t>
      </w:r>
    </w:p>
    <w:p>
      <w:pPr>
        <w:pStyle w:val="ListBullet"/>
      </w:pPr>
      <w:r>
        <w:rPr>
          <w:rFonts w:ascii="Arial" w:hAnsi="Arial"/>
          <w:sz w:val="48"/>
        </w:rPr>
        <w:t>Immune cell infiltration risk stratification</w:t>
      </w:r>
    </w:p>
    <w:p>
      <w:pPr>
        <w:pStyle w:val="ListBullet"/>
      </w:pPr>
      <w:r>
        <w:rPr>
          <w:rFonts w:ascii="Arial" w:hAnsi="Arial"/>
          <w:sz w:val="48"/>
        </w:rPr>
        <w:t>Species-specific response predictions</w:t>
      </w:r>
    </w:p>
    <w:p>
      <w:pPr>
        <w:pStyle w:val="ListBullet"/>
      </w:pPr>
      <w:r>
        <w:rPr>
          <w:rFonts w:ascii="Arial" w:hAnsi="Arial"/>
          <w:sz w:val="48"/>
        </w:rPr>
        <w:t>Candidate ranking by immunotoxicity risk</w:t>
      </w:r>
    </w:p>
    <w:p>
      <w:r>
        <w:rPr>
          <w:rFonts w:ascii="Arial" w:hAnsi="Arial"/>
          <w:b/>
          <w:sz w:val="48"/>
        </w:rPr>
        <w:t xml:space="preserve">Format: </w:t>
      </w:r>
    </w:p>
    <w:p>
      <w:pPr>
        <w:pStyle w:val="ListBullet"/>
      </w:pPr>
      <w:r>
        <w:rPr>
          <w:rFonts w:ascii="Arial" w:hAnsi="Arial"/>
          <w:sz w:val="48"/>
        </w:rPr>
        <w:t>Immune activation scorecard; cytokine response predictions; species comparison heatmaps; immunotoxicity risk ranking.</w:t>
      </w:r>
    </w:p>
    <w:p>
      <w:pPr>
        <w:pStyle w:val="Heading2"/>
      </w:pPr>
      <w:r>
        <w:rPr>
          <w:rFonts w:ascii="Arial" w:hAnsi="Arial"/>
          <w:b/>
          <w:sz w:val="56"/>
        </w:rPr>
        <w:t>Stage 4: Organ-Specific Toxicity Prediction (Hepato-, Nephro-, Neurotoxicity)</w:t>
      </w:r>
    </w:p>
    <w:p>
      <w:r>
        <w:rPr>
          <w:rFonts w:ascii="Arial" w:hAnsi="Arial"/>
          <w:b/>
          <w:sz w:val="48"/>
        </w:rPr>
        <w:t xml:space="preserve">Purpose: </w:t>
      </w:r>
    </w:p>
    <w:p>
      <w:pPr>
        <w:pStyle w:val="ListBullet"/>
      </w:pPr>
      <w:r>
        <w:rPr>
          <w:rFonts w:ascii="Arial" w:hAnsi="Arial"/>
          <w:sz w:val="48"/>
        </w:rPr>
        <w:t>Predict organ-specific toxicity risk across liver, kidney, and nervous system using known ASO toxicity mechanisms, molecular alerts, and translational biomarkers.</w:t>
      </w:r>
    </w:p>
    <w:p>
      <w:r>
        <w:rPr>
          <w:rFonts w:ascii="Arial" w:hAnsi="Arial"/>
          <w:b/>
          <w:sz w:val="48"/>
        </w:rPr>
        <w:t xml:space="preserve">Inputs: </w:t>
      </w:r>
    </w:p>
    <w:p>
      <w:pPr>
        <w:pStyle w:val="ListBullet"/>
      </w:pPr>
      <w:r>
        <w:rPr>
          <w:rFonts w:ascii="Arial" w:hAnsi="Arial"/>
          <w:sz w:val="48"/>
        </w:rPr>
        <w:t>All candidate sequence and chemistry data</w:t>
      </w:r>
    </w:p>
    <w:p>
      <w:pPr>
        <w:pStyle w:val="ListBullet"/>
      </w:pPr>
      <w:r>
        <w:rPr>
          <w:rFonts w:ascii="Arial" w:hAnsi="Arial"/>
          <w:sz w:val="48"/>
        </w:rPr>
        <w:t>ASO hepatotoxicity knowledge base</w:t>
      </w:r>
    </w:p>
    <w:p>
      <w:pPr>
        <w:pStyle w:val="ListBullet"/>
      </w:pPr>
      <w:r>
        <w:rPr>
          <w:rFonts w:ascii="Arial" w:hAnsi="Arial"/>
          <w:sz w:val="48"/>
        </w:rPr>
        <w:t>ASO nephrotoxicity mechanism database</w:t>
      </w:r>
    </w:p>
    <w:p>
      <w:pPr>
        <w:pStyle w:val="ListBullet"/>
      </w:pPr>
      <w:r>
        <w:rPr>
          <w:rFonts w:ascii="Arial" w:hAnsi="Arial"/>
          <w:sz w:val="48"/>
        </w:rPr>
        <w:t>Neurotoxicity prediction models (Quiver atlas data)</w:t>
      </w:r>
    </w:p>
    <w:p>
      <w:pPr>
        <w:pStyle w:val="ListBullet"/>
      </w:pPr>
      <w:r>
        <w:rPr>
          <w:rFonts w:ascii="Arial" w:hAnsi="Arial"/>
          <w:sz w:val="48"/>
        </w:rPr>
        <w:t>Organ-specific accumulation and retention data</w:t>
      </w:r>
    </w:p>
    <w:p>
      <w:pPr>
        <w:pStyle w:val="ListBullet"/>
      </w:pPr>
      <w:r>
        <w:rPr>
          <w:rFonts w:ascii="Arial" w:hAnsi="Arial"/>
          <w:sz w:val="48"/>
        </w:rPr>
        <w:t>Known molecular toxicity alerts</w:t>
      </w:r>
    </w:p>
    <w:p>
      <w:r>
        <w:rPr>
          <w:rFonts w:ascii="Arial" w:hAnsi="Arial"/>
          <w:b/>
          <w:sz w:val="48"/>
        </w:rPr>
        <w:t xml:space="preserve">Tools &amp; Databases Called: </w:t>
      </w:r>
    </w:p>
    <w:p>
      <w:pPr>
        <w:pStyle w:val="ListBullet"/>
      </w:pPr>
      <w:r>
        <w:rPr>
          <w:rFonts w:ascii="Arial" w:hAnsi="Arial"/>
          <w:sz w:val="48"/>
        </w:rPr>
        <w:t>Hepatotoxicity prediction engine (mechanism-based)</w:t>
      </w:r>
    </w:p>
    <w:p>
      <w:pPr>
        <w:pStyle w:val="ListBullet"/>
      </w:pPr>
      <w:r>
        <w:rPr>
          <w:rFonts w:ascii="Arial" w:hAnsi="Arial"/>
          <w:sz w:val="48"/>
        </w:rPr>
        <w:t>Nephrotoxicity assessment module</w:t>
      </w:r>
    </w:p>
    <w:p>
      <w:pPr>
        <w:pStyle w:val="ListBullet"/>
      </w:pPr>
      <w:r>
        <w:rPr>
          <w:rFonts w:ascii="Arial" w:hAnsi="Arial"/>
          <w:sz w:val="48"/>
        </w:rPr>
        <w:t>Neurotoxicity predictor (using Quiver EP phenotypes)</w:t>
      </w:r>
    </w:p>
    <w:p>
      <w:pPr>
        <w:pStyle w:val="ListBullet"/>
      </w:pPr>
      <w:r>
        <w:rPr>
          <w:rFonts w:ascii="Arial" w:hAnsi="Arial"/>
          <w:sz w:val="48"/>
        </w:rPr>
        <w:t>ASO organ accumulation database</w:t>
      </w:r>
    </w:p>
    <w:p>
      <w:pPr>
        <w:pStyle w:val="ListBullet"/>
      </w:pPr>
      <w:r>
        <w:rPr>
          <w:rFonts w:ascii="Arial" w:hAnsi="Arial"/>
          <w:sz w:val="48"/>
        </w:rPr>
        <w:t>Molecular toxicity alert system</w:t>
      </w:r>
    </w:p>
    <w:p>
      <w:pPr>
        <w:pStyle w:val="ListBullet"/>
      </w:pPr>
      <w:r>
        <w:rPr>
          <w:rFonts w:ascii="Arial" w:hAnsi="Arial"/>
          <w:sz w:val="48"/>
        </w:rPr>
        <w:t>Known ASO adverse event correlator (chemistry-toxicity mapping)</w:t>
      </w:r>
    </w:p>
    <w:p>
      <w:pPr>
        <w:pStyle w:val="ListBullet"/>
      </w:pPr>
      <w:r>
        <w:rPr>
          <w:rFonts w:ascii="Arial" w:hAnsi="Arial"/>
          <w:sz w:val="48"/>
        </w:rPr>
        <w:t>Biomarker prediction tool (ALT, AST, creatinine, etc.)</w:t>
      </w:r>
    </w:p>
    <w:p>
      <w:r>
        <w:rPr>
          <w:rFonts w:ascii="Arial" w:hAnsi="Arial"/>
          <w:b/>
          <w:sz w:val="48"/>
        </w:rPr>
        <w:t xml:space="preserve">Exemplary Sub-Prompts: </w:t>
      </w:r>
    </w:p>
    <w:p>
      <w:pPr>
        <w:pStyle w:val="ListBullet"/>
      </w:pPr>
      <w:r>
        <w:rPr>
          <w:rFonts w:ascii="Arial" w:hAnsi="Arial"/>
          <w:sz w:val="48"/>
        </w:rPr>
        <w:t>Identify hepatotoxicity risk based on chemistry and known mechanism patterns.</w:t>
      </w:r>
    </w:p>
    <w:p>
      <w:pPr>
        <w:pStyle w:val="ListBullet"/>
      </w:pPr>
      <w:r>
        <w:rPr>
          <w:rFonts w:ascii="Arial" w:hAnsi="Arial"/>
          <w:sz w:val="48"/>
        </w:rPr>
        <w:t>Assess nephrotoxicity potential using molecular alerts and accumulation data.</w:t>
      </w:r>
    </w:p>
    <w:p>
      <w:pPr>
        <w:pStyle w:val="ListBullet"/>
      </w:pPr>
      <w:r>
        <w:rPr>
          <w:rFonts w:ascii="Arial" w:hAnsi="Arial"/>
          <w:sz w:val="48"/>
        </w:rPr>
        <w:t>Predict neurotoxicity using Quiver phenotype correlations.</w:t>
      </w:r>
    </w:p>
    <w:p>
      <w:pPr>
        <w:pStyle w:val="ListBullet"/>
      </w:pPr>
      <w:r>
        <w:rPr>
          <w:rFonts w:ascii="Arial" w:hAnsi="Arial"/>
          <w:sz w:val="48"/>
        </w:rPr>
        <w:t>Model organ-specific accumulation and retention kinetics.</w:t>
      </w:r>
    </w:p>
    <w:p>
      <w:pPr>
        <w:pStyle w:val="ListBullet"/>
      </w:pPr>
      <w:r>
        <w:rPr>
          <w:rFonts w:ascii="Arial" w:hAnsi="Arial"/>
          <w:sz w:val="48"/>
        </w:rPr>
        <w:t>Predict clinical biomarker elevations (liver enzymes, kidney function).</w:t>
      </w:r>
    </w:p>
    <w:p>
      <w:r>
        <w:rPr>
          <w:rFonts w:ascii="Arial" w:hAnsi="Arial"/>
          <w:b/>
          <w:sz w:val="48"/>
        </w:rPr>
        <w:t xml:space="preserve">Expected Outputs: </w:t>
      </w:r>
    </w:p>
    <w:p>
      <w:pPr>
        <w:pStyle w:val="ListBullet"/>
      </w:pPr>
      <w:r>
        <w:rPr>
          <w:rFonts w:ascii="Arial" w:hAnsi="Arial"/>
          <w:sz w:val="48"/>
        </w:rPr>
        <w:t>Hepatotoxicity risk assessment for all 10 candidates</w:t>
      </w:r>
    </w:p>
    <w:p>
      <w:pPr>
        <w:pStyle w:val="ListBullet"/>
      </w:pPr>
      <w:r>
        <w:rPr>
          <w:rFonts w:ascii="Arial" w:hAnsi="Arial"/>
          <w:sz w:val="48"/>
        </w:rPr>
        <w:t>Nephrotoxicity risk stratification</w:t>
      </w:r>
    </w:p>
    <w:p>
      <w:pPr>
        <w:pStyle w:val="ListBullet"/>
      </w:pPr>
      <w:r>
        <w:rPr>
          <w:rFonts w:ascii="Arial" w:hAnsi="Arial"/>
          <w:sz w:val="48"/>
        </w:rPr>
        <w:t>Neurotoxicity risk predictions (electrophysiological impact)</w:t>
      </w:r>
    </w:p>
    <w:p>
      <w:pPr>
        <w:pStyle w:val="ListBullet"/>
      </w:pPr>
      <w:r>
        <w:rPr>
          <w:rFonts w:ascii="Arial" w:hAnsi="Arial"/>
          <w:sz w:val="48"/>
        </w:rPr>
        <w:t>Organ accumulation predictions</w:t>
      </w:r>
    </w:p>
    <w:p>
      <w:pPr>
        <w:pStyle w:val="ListBullet"/>
      </w:pPr>
      <w:r>
        <w:rPr>
          <w:rFonts w:ascii="Arial" w:hAnsi="Arial"/>
          <w:sz w:val="48"/>
        </w:rPr>
        <w:t>Predicted clinical biomarker changes</w:t>
      </w:r>
    </w:p>
    <w:p>
      <w:pPr>
        <w:pStyle w:val="ListBullet"/>
      </w:pPr>
      <w:r>
        <w:rPr>
          <w:rFonts w:ascii="Arial" w:hAnsi="Arial"/>
          <w:sz w:val="48"/>
        </w:rPr>
        <w:t>Candidate ranking by organ-specific toxicity risk</w:t>
      </w:r>
    </w:p>
    <w:p>
      <w:pPr>
        <w:pStyle w:val="ListBullet"/>
      </w:pPr>
      <w:r>
        <w:rPr>
          <w:rFonts w:ascii="Arial" w:hAnsi="Arial"/>
          <w:sz w:val="48"/>
        </w:rPr>
        <w:t>Recommendations for further investigation</w:t>
      </w:r>
    </w:p>
    <w:p>
      <w:r>
        <w:rPr>
          <w:rFonts w:ascii="Arial" w:hAnsi="Arial"/>
          <w:b/>
          <w:sz w:val="48"/>
        </w:rPr>
        <w:t xml:space="preserve">Format: </w:t>
      </w:r>
    </w:p>
    <w:p>
      <w:pPr>
        <w:pStyle w:val="ListBullet"/>
      </w:pPr>
      <w:r>
        <w:rPr>
          <w:rFonts w:ascii="Arial" w:hAnsi="Arial"/>
          <w:sz w:val="48"/>
        </w:rPr>
        <w:t>Organ-specific risk matrices; toxicity mechanism flowcharts; biomarker prediction tables; candidate ranking by organ toxicity.</w:t>
      </w:r>
    </w:p>
    <w:p>
      <w:pPr>
        <w:pStyle w:val="Heading2"/>
      </w:pPr>
      <w:r>
        <w:rPr>
          <w:rFonts w:ascii="Arial" w:hAnsi="Arial"/>
          <w:b/>
          <w:sz w:val="56"/>
        </w:rPr>
        <w:t>Stage 5: Animal Species-Specific Toxicity Extrapolation and Dose-Limiting Effects</w:t>
      </w:r>
    </w:p>
    <w:p>
      <w:r>
        <w:rPr>
          <w:rFonts w:ascii="Arial" w:hAnsi="Arial"/>
          <w:b/>
          <w:sz w:val="48"/>
        </w:rPr>
        <w:t xml:space="preserve">Purpose: </w:t>
      </w:r>
    </w:p>
    <w:p>
      <w:pPr>
        <w:pStyle w:val="ListBullet"/>
      </w:pPr>
      <w:r>
        <w:rPr>
          <w:rFonts w:ascii="Arial" w:hAnsi="Arial"/>
          <w:sz w:val="48"/>
        </w:rPr>
        <w:t>Predict animal toxicity profiles across relevant preclinical species (mouse, rat, nonhuman primate) and identify dose-limiting toxicities for GLP study design.</w:t>
      </w:r>
    </w:p>
    <w:p>
      <w:r>
        <w:rPr>
          <w:rFonts w:ascii="Arial" w:hAnsi="Arial"/>
          <w:b/>
          <w:sz w:val="48"/>
        </w:rPr>
        <w:t xml:space="preserve">Inputs: </w:t>
      </w:r>
    </w:p>
    <w:p>
      <w:pPr>
        <w:pStyle w:val="ListBullet"/>
      </w:pPr>
      <w:r>
        <w:rPr>
          <w:rFonts w:ascii="Arial" w:hAnsi="Arial"/>
          <w:sz w:val="48"/>
        </w:rPr>
        <w:t>Organ-specific toxicity predictions from Stage 4</w:t>
      </w:r>
    </w:p>
    <w:p>
      <w:pPr>
        <w:pStyle w:val="ListBullet"/>
      </w:pPr>
      <w:r>
        <w:rPr>
          <w:rFonts w:ascii="Arial" w:hAnsi="Arial"/>
          <w:sz w:val="48"/>
        </w:rPr>
        <w:t>Species-specific ASO pharmacokinetics</w:t>
      </w:r>
    </w:p>
    <w:p>
      <w:pPr>
        <w:pStyle w:val="ListBullet"/>
      </w:pPr>
      <w:r>
        <w:rPr>
          <w:rFonts w:ascii="Arial" w:hAnsi="Arial"/>
          <w:sz w:val="48"/>
        </w:rPr>
        <w:t>Comparative toxicology databases (mouse, rat, primate)</w:t>
      </w:r>
    </w:p>
    <w:p>
      <w:pPr>
        <w:pStyle w:val="ListBullet"/>
      </w:pPr>
      <w:r>
        <w:rPr>
          <w:rFonts w:ascii="Arial" w:hAnsi="Arial"/>
          <w:sz w:val="48"/>
        </w:rPr>
        <w:t>Known species-specific ASO sensitivity patterns</w:t>
      </w:r>
    </w:p>
    <w:p>
      <w:pPr>
        <w:pStyle w:val="ListBullet"/>
      </w:pPr>
      <w:r>
        <w:rPr>
          <w:rFonts w:ascii="Arial" w:hAnsi="Arial"/>
          <w:sz w:val="48"/>
        </w:rPr>
        <w:t>Target organ accumulation data by species</w:t>
      </w:r>
    </w:p>
    <w:p>
      <w:pPr>
        <w:pStyle w:val="ListBullet"/>
      </w:pPr>
      <w:r>
        <w:rPr>
          <w:rFonts w:ascii="Arial" w:hAnsi="Arial"/>
          <w:sz w:val="48"/>
        </w:rPr>
        <w:t>Literature preclinical toxicology data</w:t>
      </w:r>
    </w:p>
    <w:p>
      <w:r>
        <w:rPr>
          <w:rFonts w:ascii="Arial" w:hAnsi="Arial"/>
          <w:b/>
          <w:sz w:val="48"/>
        </w:rPr>
        <w:t xml:space="preserve">Tools &amp; Databases Called: </w:t>
      </w:r>
    </w:p>
    <w:p>
      <w:pPr>
        <w:pStyle w:val="ListBullet"/>
      </w:pPr>
      <w:r>
        <w:rPr>
          <w:rFonts w:ascii="Arial" w:hAnsi="Arial"/>
          <w:sz w:val="48"/>
        </w:rPr>
        <w:t>Species extrapolation model (allometric scaling)</w:t>
      </w:r>
    </w:p>
    <w:p>
      <w:pPr>
        <w:pStyle w:val="ListBullet"/>
      </w:pPr>
      <w:r>
        <w:rPr>
          <w:rFonts w:ascii="Arial" w:hAnsi="Arial"/>
          <w:sz w:val="48"/>
        </w:rPr>
        <w:t>Comparative toxicology database (preclinical data)</w:t>
      </w:r>
    </w:p>
    <w:p>
      <w:pPr>
        <w:pStyle w:val="ListBullet"/>
      </w:pPr>
      <w:r>
        <w:rPr>
          <w:rFonts w:ascii="Arial" w:hAnsi="Arial"/>
          <w:sz w:val="48"/>
        </w:rPr>
        <w:t>Species-specific pharmacokinetic simulator</w:t>
      </w:r>
    </w:p>
    <w:p>
      <w:pPr>
        <w:pStyle w:val="ListBullet"/>
      </w:pPr>
      <w:r>
        <w:rPr>
          <w:rFonts w:ascii="Arial" w:hAnsi="Arial"/>
          <w:sz w:val="48"/>
        </w:rPr>
        <w:t>Known ASO species sensitivity database</w:t>
      </w:r>
    </w:p>
    <w:p>
      <w:pPr>
        <w:pStyle w:val="ListBullet"/>
      </w:pPr>
      <w:r>
        <w:rPr>
          <w:rFonts w:ascii="Arial" w:hAnsi="Arial"/>
          <w:sz w:val="48"/>
        </w:rPr>
        <w:t>Target organ accumulation predictor</w:t>
      </w:r>
    </w:p>
    <w:p>
      <w:pPr>
        <w:pStyle w:val="ListBullet"/>
      </w:pPr>
      <w:r>
        <w:rPr>
          <w:rFonts w:ascii="Arial" w:hAnsi="Arial"/>
          <w:sz w:val="48"/>
        </w:rPr>
        <w:t>Dose-response modeling engine</w:t>
      </w:r>
    </w:p>
    <w:p>
      <w:pPr>
        <w:pStyle w:val="ListBullet"/>
      </w:pPr>
      <w:r>
        <w:rPr>
          <w:rFonts w:ascii="Arial" w:hAnsi="Arial"/>
          <w:sz w:val="48"/>
        </w:rPr>
        <w:t>GLP toxicology study design advisor</w:t>
      </w:r>
    </w:p>
    <w:p>
      <w:r>
        <w:rPr>
          <w:rFonts w:ascii="Arial" w:hAnsi="Arial"/>
          <w:b/>
          <w:sz w:val="48"/>
        </w:rPr>
        <w:t xml:space="preserve">Exemplary Sub-Prompts: </w:t>
      </w:r>
    </w:p>
    <w:p>
      <w:pPr>
        <w:pStyle w:val="ListBullet"/>
      </w:pPr>
      <w:r>
        <w:rPr>
          <w:rFonts w:ascii="Arial" w:hAnsi="Arial"/>
          <w:sz w:val="48"/>
        </w:rPr>
        <w:t>Predict toxicity dose-response curves for mouse, rat, and primate.</w:t>
      </w:r>
    </w:p>
    <w:p>
      <w:pPr>
        <w:pStyle w:val="ListBullet"/>
      </w:pPr>
      <w:r>
        <w:rPr>
          <w:rFonts w:ascii="Arial" w:hAnsi="Arial"/>
          <w:sz w:val="48"/>
        </w:rPr>
        <w:t>Identify dose-limiting toxicities in each species.</w:t>
      </w:r>
    </w:p>
    <w:p>
      <w:pPr>
        <w:pStyle w:val="ListBullet"/>
      </w:pPr>
      <w:r>
        <w:rPr>
          <w:rFonts w:ascii="Arial" w:hAnsi="Arial"/>
          <w:sz w:val="48"/>
        </w:rPr>
        <w:t>Compare species-specific sensitivity to predicted toxicities.</w:t>
      </w:r>
    </w:p>
    <w:p>
      <w:pPr>
        <w:pStyle w:val="ListBullet"/>
      </w:pPr>
      <w:r>
        <w:rPr>
          <w:rFonts w:ascii="Arial" w:hAnsi="Arial"/>
          <w:sz w:val="48"/>
        </w:rPr>
        <w:t>Estimate Maximum Tolerated Dose (MTD) for each candidate in rodents and primates.</w:t>
      </w:r>
    </w:p>
    <w:p>
      <w:pPr>
        <w:pStyle w:val="ListBullet"/>
      </w:pPr>
      <w:r>
        <w:rPr>
          <w:rFonts w:ascii="Arial" w:hAnsi="Arial"/>
          <w:sz w:val="48"/>
        </w:rPr>
        <w:t>Recommend species and dose ranges for GLP toxicology studies.</w:t>
      </w:r>
    </w:p>
    <w:p>
      <w:r>
        <w:rPr>
          <w:rFonts w:ascii="Arial" w:hAnsi="Arial"/>
          <w:b/>
          <w:sz w:val="48"/>
        </w:rPr>
        <w:t xml:space="preserve">Expected Outputs: </w:t>
      </w:r>
    </w:p>
    <w:p>
      <w:pPr>
        <w:pStyle w:val="ListBullet"/>
      </w:pPr>
      <w:r>
        <w:rPr>
          <w:rFonts w:ascii="Arial" w:hAnsi="Arial"/>
          <w:sz w:val="48"/>
        </w:rPr>
        <w:t>Species-specific toxicity profiles (mouse, rat, primate)</w:t>
      </w:r>
    </w:p>
    <w:p>
      <w:pPr>
        <w:pStyle w:val="ListBullet"/>
      </w:pPr>
      <w:r>
        <w:rPr>
          <w:rFonts w:ascii="Arial" w:hAnsi="Arial"/>
          <w:sz w:val="48"/>
        </w:rPr>
        <w:t>Predicted dose-response relationships</w:t>
      </w:r>
    </w:p>
    <w:p>
      <w:pPr>
        <w:pStyle w:val="ListBullet"/>
      </w:pPr>
      <w:r>
        <w:rPr>
          <w:rFonts w:ascii="Arial" w:hAnsi="Arial"/>
          <w:sz w:val="48"/>
        </w:rPr>
        <w:t>Maximum Tolerated Dose (MTD) estimates</w:t>
      </w:r>
    </w:p>
    <w:p>
      <w:pPr>
        <w:pStyle w:val="ListBullet"/>
      </w:pPr>
      <w:r>
        <w:rPr>
          <w:rFonts w:ascii="Arial" w:hAnsi="Arial"/>
          <w:sz w:val="48"/>
        </w:rPr>
        <w:t>Dose-limiting toxicity identification</w:t>
      </w:r>
    </w:p>
    <w:p>
      <w:pPr>
        <w:pStyle w:val="ListBullet"/>
      </w:pPr>
      <w:r>
        <w:rPr>
          <w:rFonts w:ascii="Arial" w:hAnsi="Arial"/>
          <w:sz w:val="48"/>
        </w:rPr>
        <w:t>Species-specific biomarker change predictions</w:t>
      </w:r>
    </w:p>
    <w:p>
      <w:pPr>
        <w:pStyle w:val="ListBullet"/>
      </w:pPr>
      <w:r>
        <w:rPr>
          <w:rFonts w:ascii="Arial" w:hAnsi="Arial"/>
          <w:sz w:val="48"/>
        </w:rPr>
        <w:t>GLP study design recommendations (species, doses, schedule)</w:t>
      </w:r>
    </w:p>
    <w:p>
      <w:pPr>
        <w:pStyle w:val="ListBullet"/>
      </w:pPr>
      <w:r>
        <w:rPr>
          <w:rFonts w:ascii="Arial" w:hAnsi="Arial"/>
          <w:sz w:val="48"/>
        </w:rPr>
        <w:t>Translation guidance from animal to human toxicity prediction</w:t>
      </w:r>
    </w:p>
    <w:p>
      <w:r>
        <w:rPr>
          <w:rFonts w:ascii="Arial" w:hAnsi="Arial"/>
          <w:b/>
          <w:sz w:val="48"/>
        </w:rPr>
        <w:t xml:space="preserve">Format: </w:t>
      </w:r>
    </w:p>
    <w:p>
      <w:pPr>
        <w:pStyle w:val="ListBullet"/>
      </w:pPr>
      <w:r>
        <w:rPr>
          <w:rFonts w:ascii="Arial" w:hAnsi="Arial"/>
          <w:sz w:val="48"/>
        </w:rPr>
        <w:t>Dose-response curves by species; species comparison heatmaps; MTD estimates; GLP study design template recommendations.</w:t>
      </w:r>
    </w:p>
    <w:p>
      <w:pPr>
        <w:pStyle w:val="Heading2"/>
      </w:pPr>
      <w:r>
        <w:rPr>
          <w:rFonts w:ascii="Arial" w:hAnsi="Arial"/>
          <w:b/>
          <w:sz w:val="56"/>
        </w:rPr>
        <w:t>Stage 6: Integrated Toxicity Risk Assessment and GLP Protocol Recommendations</w:t>
      </w:r>
    </w:p>
    <w:p>
      <w:r>
        <w:rPr>
          <w:rFonts w:ascii="Arial" w:hAnsi="Arial"/>
          <w:b/>
          <w:sz w:val="48"/>
        </w:rPr>
        <w:t xml:space="preserve">Purpose: </w:t>
      </w:r>
    </w:p>
    <w:p>
      <w:pPr>
        <w:pStyle w:val="ListBullet"/>
      </w:pPr>
      <w:r>
        <w:rPr>
          <w:rFonts w:ascii="Arial" w:hAnsi="Arial"/>
          <w:sz w:val="48"/>
        </w:rPr>
        <w:t>Synthesize all toxicity risk assessments into integrated safety profiles and provide detailed GLP study design recommendations for the top candidates.</w:t>
      </w:r>
    </w:p>
    <w:p>
      <w:r>
        <w:rPr>
          <w:rFonts w:ascii="Arial" w:hAnsi="Arial"/>
          <w:b/>
          <w:sz w:val="48"/>
        </w:rPr>
        <w:t xml:space="preserve">Inputs: </w:t>
      </w:r>
    </w:p>
    <w:p>
      <w:pPr>
        <w:pStyle w:val="ListBullet"/>
      </w:pPr>
      <w:r>
        <w:rPr>
          <w:rFonts w:ascii="Arial" w:hAnsi="Arial"/>
          <w:sz w:val="48"/>
        </w:rPr>
        <w:t>Off-target toxicity assessment from Stage 2</w:t>
      </w:r>
    </w:p>
    <w:p>
      <w:pPr>
        <w:pStyle w:val="ListBullet"/>
      </w:pPr>
      <w:r>
        <w:rPr>
          <w:rFonts w:ascii="Arial" w:hAnsi="Arial"/>
          <w:sz w:val="48"/>
        </w:rPr>
        <w:t>Immunotoxicity predictions from Stage 3</w:t>
      </w:r>
    </w:p>
    <w:p>
      <w:pPr>
        <w:pStyle w:val="ListBullet"/>
      </w:pPr>
      <w:r>
        <w:rPr>
          <w:rFonts w:ascii="Arial" w:hAnsi="Arial"/>
          <w:sz w:val="48"/>
        </w:rPr>
        <w:t>Organ-specific toxicity from Stage 4</w:t>
      </w:r>
    </w:p>
    <w:p>
      <w:pPr>
        <w:pStyle w:val="ListBullet"/>
      </w:pPr>
      <w:r>
        <w:rPr>
          <w:rFonts w:ascii="Arial" w:hAnsi="Arial"/>
          <w:sz w:val="48"/>
        </w:rPr>
        <w:t>Species-specific predictions from Stage 5</w:t>
      </w:r>
    </w:p>
    <w:p>
      <w:pPr>
        <w:pStyle w:val="ListBullet"/>
      </w:pPr>
      <w:r>
        <w:rPr>
          <w:rFonts w:ascii="Arial" w:hAnsi="Arial"/>
          <w:sz w:val="48"/>
        </w:rPr>
        <w:t>GLP toxicology study requirements and regulations</w:t>
      </w:r>
    </w:p>
    <w:p>
      <w:r>
        <w:rPr>
          <w:rFonts w:ascii="Arial" w:hAnsi="Arial"/>
          <w:b/>
          <w:sz w:val="48"/>
        </w:rPr>
        <w:t xml:space="preserve">Tools &amp; Databases Called: </w:t>
      </w:r>
    </w:p>
    <w:p>
      <w:pPr>
        <w:pStyle w:val="ListBullet"/>
      </w:pPr>
      <w:r>
        <w:rPr>
          <w:rFonts w:ascii="Arial" w:hAnsi="Arial"/>
          <w:sz w:val="48"/>
        </w:rPr>
        <w:t>Multi-criteria toxicity risk assessment module</w:t>
      </w:r>
    </w:p>
    <w:p>
      <w:pPr>
        <w:pStyle w:val="ListBullet"/>
      </w:pPr>
      <w:r>
        <w:rPr>
          <w:rFonts w:ascii="Arial" w:hAnsi="Arial"/>
          <w:sz w:val="48"/>
        </w:rPr>
        <w:t>Integrated risk scoring engine</w:t>
      </w:r>
    </w:p>
    <w:p>
      <w:pPr>
        <w:pStyle w:val="ListBullet"/>
      </w:pPr>
      <w:r>
        <w:rPr>
          <w:rFonts w:ascii="Arial" w:hAnsi="Arial"/>
          <w:sz w:val="48"/>
        </w:rPr>
        <w:t>GLP protocol template generator</w:t>
      </w:r>
    </w:p>
    <w:p>
      <w:pPr>
        <w:pStyle w:val="ListBullet"/>
      </w:pPr>
      <w:r>
        <w:rPr>
          <w:rFonts w:ascii="Arial" w:hAnsi="Arial"/>
          <w:sz w:val="48"/>
        </w:rPr>
        <w:t>Safety margin calculator (preclinical-to-human)</w:t>
      </w:r>
    </w:p>
    <w:p>
      <w:pPr>
        <w:pStyle w:val="ListBullet"/>
      </w:pPr>
      <w:r>
        <w:rPr>
          <w:rFonts w:ascii="Arial" w:hAnsi="Arial"/>
          <w:sz w:val="48"/>
        </w:rPr>
        <w:t>Regulatory compliance checker (ICH, FDA, EMA guidelines)</w:t>
      </w:r>
    </w:p>
    <w:p>
      <w:pPr>
        <w:pStyle w:val="ListBullet"/>
      </w:pPr>
      <w:r>
        <w:rPr>
          <w:rFonts w:ascii="Arial" w:hAnsi="Arial"/>
          <w:sz w:val="48"/>
        </w:rPr>
        <w:t>Risk mitigation strategy recommender</w:t>
      </w:r>
    </w:p>
    <w:p>
      <w:pPr>
        <w:pStyle w:val="ListBullet"/>
      </w:pPr>
      <w:r>
        <w:rPr>
          <w:rFonts w:ascii="Arial" w:hAnsi="Arial"/>
          <w:sz w:val="48"/>
        </w:rPr>
        <w:t>Comparative competitive toxicology database</w:t>
      </w:r>
    </w:p>
    <w:p>
      <w:r>
        <w:rPr>
          <w:rFonts w:ascii="Arial" w:hAnsi="Arial"/>
          <w:b/>
          <w:sz w:val="48"/>
        </w:rPr>
        <w:t xml:space="preserve">Exemplary Sub-Prompts: </w:t>
      </w:r>
    </w:p>
    <w:p>
      <w:pPr>
        <w:pStyle w:val="ListBullet"/>
      </w:pPr>
      <w:r>
        <w:rPr>
          <w:rFonts w:ascii="Arial" w:hAnsi="Arial"/>
          <w:sz w:val="48"/>
        </w:rPr>
        <w:t>Synthesize toxicity data into integrated risk profiles for all 10 candidates.</w:t>
      </w:r>
    </w:p>
    <w:p>
      <w:pPr>
        <w:pStyle w:val="ListBullet"/>
      </w:pPr>
      <w:r>
        <w:rPr>
          <w:rFonts w:ascii="Arial" w:hAnsi="Arial"/>
          <w:sz w:val="48"/>
        </w:rPr>
        <w:t>Rank candidates by overall toxicity risk and preclinical viability.</w:t>
      </w:r>
    </w:p>
    <w:p>
      <w:pPr>
        <w:pStyle w:val="ListBullet"/>
      </w:pPr>
      <w:r>
        <w:rPr>
          <w:rFonts w:ascii="Arial" w:hAnsi="Arial"/>
          <w:sz w:val="48"/>
        </w:rPr>
        <w:t>Design GLP toxicology study protocols for top candidates.</w:t>
      </w:r>
    </w:p>
    <w:p>
      <w:pPr>
        <w:pStyle w:val="ListBullet"/>
      </w:pPr>
      <w:r>
        <w:rPr>
          <w:rFonts w:ascii="Arial" w:hAnsi="Arial"/>
          <w:sz w:val="48"/>
        </w:rPr>
        <w:t>Identify critical safety monitoring parameters.</w:t>
      </w:r>
    </w:p>
    <w:p>
      <w:pPr>
        <w:pStyle w:val="ListBullet"/>
      </w:pPr>
      <w:r>
        <w:rPr>
          <w:rFonts w:ascii="Arial" w:hAnsi="Arial"/>
          <w:sz w:val="48"/>
        </w:rPr>
        <w:t>Provide mitigation strategies for identified toxicity risks.</w:t>
      </w:r>
    </w:p>
    <w:p>
      <w:pPr>
        <w:pStyle w:val="ListBullet"/>
      </w:pPr>
      <w:r>
        <w:rPr>
          <w:rFonts w:ascii="Arial" w:hAnsi="Arial"/>
          <w:sz w:val="48"/>
        </w:rPr>
        <w:t>Estimate preclinical study timelines and costs.</w:t>
      </w:r>
    </w:p>
    <w:p>
      <w:r>
        <w:rPr>
          <w:rFonts w:ascii="Arial" w:hAnsi="Arial"/>
          <w:b/>
          <w:sz w:val="48"/>
        </w:rPr>
        <w:t xml:space="preserve">Expected Outputs: </w:t>
      </w:r>
    </w:p>
    <w:p>
      <w:pPr>
        <w:pStyle w:val="ListBullet"/>
      </w:pPr>
      <w:r>
        <w:rPr>
          <w:rFonts w:ascii="Arial" w:hAnsi="Arial"/>
          <w:sz w:val="48"/>
        </w:rPr>
        <w:t>Integrated toxicity risk ranking of all 10 candidates</w:t>
      </w:r>
    </w:p>
    <w:p>
      <w:pPr>
        <w:pStyle w:val="ListBullet"/>
      </w:pPr>
      <w:r>
        <w:rPr>
          <w:rFonts w:ascii="Arial" w:hAnsi="Arial"/>
          <w:sz w:val="48"/>
        </w:rPr>
        <w:t>Detailed safety profiles for top 5 candidates</w:t>
      </w:r>
    </w:p>
    <w:p>
      <w:pPr>
        <w:pStyle w:val="ListBullet"/>
      </w:pPr>
      <w:r>
        <w:rPr>
          <w:rFonts w:ascii="Arial" w:hAnsi="Arial"/>
          <w:sz w:val="48"/>
        </w:rPr>
        <w:t>GLP toxicology study protocols (28-day, 90-day designs)</w:t>
      </w:r>
    </w:p>
    <w:p>
      <w:pPr>
        <w:pStyle w:val="ListBullet"/>
      </w:pPr>
      <w:r>
        <w:rPr>
          <w:rFonts w:ascii="Arial" w:hAnsi="Arial"/>
          <w:sz w:val="48"/>
        </w:rPr>
        <w:t>Critical safety monitoring parameters and biomarkers</w:t>
      </w:r>
    </w:p>
    <w:p>
      <w:pPr>
        <w:pStyle w:val="ListBullet"/>
      </w:pPr>
      <w:r>
        <w:rPr>
          <w:rFonts w:ascii="Arial" w:hAnsi="Arial"/>
          <w:sz w:val="48"/>
        </w:rPr>
        <w:t>Recommended dose range for animal studies</w:t>
      </w:r>
    </w:p>
    <w:p>
      <w:pPr>
        <w:pStyle w:val="ListBullet"/>
      </w:pPr>
      <w:r>
        <w:rPr>
          <w:rFonts w:ascii="Arial" w:hAnsi="Arial"/>
          <w:sz w:val="48"/>
        </w:rPr>
        <w:t>Risk mitigation and further characterization recommendations</w:t>
      </w:r>
    </w:p>
    <w:p>
      <w:pPr>
        <w:pStyle w:val="ListBullet"/>
      </w:pPr>
      <w:r>
        <w:rPr>
          <w:rFonts w:ascii="Arial" w:hAnsi="Arial"/>
          <w:sz w:val="48"/>
        </w:rPr>
        <w:t>Projected preclinical timeline and budget</w:t>
      </w:r>
    </w:p>
    <w:p>
      <w:pPr>
        <w:pStyle w:val="ListBullet"/>
      </w:pPr>
      <w:r>
        <w:rPr>
          <w:rFonts w:ascii="Arial" w:hAnsi="Arial"/>
          <w:sz w:val="48"/>
        </w:rPr>
        <w:t>Go/No-Go recommendations for each candidate</w:t>
      </w:r>
    </w:p>
    <w:p>
      <w:r>
        <w:rPr>
          <w:rFonts w:ascii="Arial" w:hAnsi="Arial"/>
          <w:b/>
          <w:sz w:val="48"/>
        </w:rPr>
        <w:t xml:space="preserve">Format: </w:t>
      </w:r>
    </w:p>
    <w:p>
      <w:pPr>
        <w:pStyle w:val="ListBullet"/>
      </w:pPr>
      <w:r>
        <w:rPr>
          <w:rFonts w:ascii="Arial" w:hAnsi="Arial"/>
          <w:sz w:val="48"/>
        </w:rPr>
        <w:t>Executive summary with integrated risk rankings; detailed candidate safety cards; GLP study protocols; regulatory compliance documentation.</w:t>
      </w:r>
    </w:p>
    <w:p>
      <w:pPr>
        <w:pStyle w:val="Heading2"/>
      </w:pPr>
      <w:r>
        <w:rPr>
          <w:rFonts w:ascii="Arial" w:hAnsi="Arial"/>
          <w:b/>
          <w:sz w:val="56"/>
        </w:rPr>
        <w:t>Tools &amp; Databases Summary</w:t>
      </w:r>
    </w:p>
    <w:p>
      <w:pPr>
        <w:pStyle w:val="ListBullet"/>
      </w:pPr>
      <w:r>
        <w:rPr>
          <w:rFonts w:ascii="Arial" w:hAnsi="Arial"/>
          <w:sz w:val="48"/>
        </w:rPr>
        <w:t>PubMed/EMBASE – Biomedical literature and safety data mining</w:t>
      </w:r>
    </w:p>
    <w:p>
      <w:pPr>
        <w:pStyle w:val="ListBullet"/>
      </w:pPr>
      <w:r>
        <w:rPr>
          <w:rFonts w:ascii="Arial" w:hAnsi="Arial"/>
          <w:sz w:val="48"/>
        </w:rPr>
        <w:t>ASO Safety Knowledge Base – Curated toxicity mechanisms and data</w:t>
      </w:r>
    </w:p>
    <w:p>
      <w:pPr>
        <w:pStyle w:val="ListBullet"/>
      </w:pPr>
      <w:r>
        <w:rPr>
          <w:rFonts w:ascii="Arial" w:hAnsi="Arial"/>
          <w:sz w:val="48"/>
        </w:rPr>
        <w:t>NCBI Sequence Database – Sequence and genomic information</w:t>
      </w:r>
    </w:p>
    <w:p>
      <w:pPr>
        <w:pStyle w:val="ListBullet"/>
      </w:pPr>
      <w:r>
        <w:rPr>
          <w:rFonts w:ascii="Arial" w:hAnsi="Arial"/>
          <w:sz w:val="48"/>
        </w:rPr>
        <w:t>FDA FAERS – Adverse Event Reporting System for clinical safety</w:t>
      </w:r>
    </w:p>
    <w:p>
      <w:pPr>
        <w:pStyle w:val="ListBullet"/>
      </w:pPr>
      <w:r>
        <w:rPr>
          <w:rFonts w:ascii="Arial" w:hAnsi="Arial"/>
          <w:sz w:val="48"/>
        </w:rPr>
        <w:t>DrugBank – Drug information and safety profiles</w:t>
      </w:r>
    </w:p>
    <w:p>
      <w:pPr>
        <w:pStyle w:val="ListBullet"/>
      </w:pPr>
      <w:r>
        <w:rPr>
          <w:rFonts w:ascii="Arial" w:hAnsi="Arial"/>
          <w:sz w:val="48"/>
        </w:rPr>
        <w:t>CRISPOR/OT-score – Off-target prediction algorithms</w:t>
      </w:r>
    </w:p>
    <w:p>
      <w:pPr>
        <w:pStyle w:val="ListBullet"/>
      </w:pPr>
      <w:r>
        <w:rPr>
          <w:rFonts w:ascii="Arial" w:hAnsi="Arial"/>
          <w:sz w:val="48"/>
        </w:rPr>
        <w:t>Gene Ontology Database – Functional gene annotations</w:t>
      </w:r>
    </w:p>
    <w:p>
      <w:pPr>
        <w:pStyle w:val="ListBullet"/>
      </w:pPr>
      <w:r>
        <w:rPr>
          <w:rFonts w:ascii="Arial" w:hAnsi="Arial"/>
          <w:sz w:val="48"/>
        </w:rPr>
        <w:t>KEGG Pathway Database – Metabolic and signaling pathways</w:t>
      </w:r>
    </w:p>
    <w:p>
      <w:pPr>
        <w:pStyle w:val="ListBullet"/>
      </w:pPr>
      <w:r>
        <w:rPr>
          <w:rFonts w:ascii="Arial" w:hAnsi="Arial"/>
          <w:sz w:val="48"/>
        </w:rPr>
        <w:t>Reactome – Pathway and interaction database</w:t>
      </w:r>
    </w:p>
    <w:p>
      <w:pPr>
        <w:pStyle w:val="ListBullet"/>
      </w:pPr>
      <w:r>
        <w:rPr>
          <w:rFonts w:ascii="Arial" w:hAnsi="Arial"/>
          <w:sz w:val="48"/>
        </w:rPr>
        <w:t>Quiver EP CRISPR Atlas – 18,000 perturbations, 500+ features</w:t>
      </w:r>
    </w:p>
    <w:p>
      <w:pPr>
        <w:pStyle w:val="ListBullet"/>
      </w:pPr>
      <w:r>
        <w:rPr>
          <w:rFonts w:ascii="Arial" w:hAnsi="Arial"/>
          <w:sz w:val="48"/>
        </w:rPr>
        <w:t>GTEx Portal – Tissue-specific gene expression</w:t>
      </w:r>
    </w:p>
    <w:p>
      <w:pPr>
        <w:pStyle w:val="ListBullet"/>
      </w:pPr>
      <w:r>
        <w:rPr>
          <w:rFonts w:ascii="Arial" w:hAnsi="Arial"/>
          <w:sz w:val="48"/>
        </w:rPr>
        <w:t>Human Protein Atlas (HPA) – Protein localization and expression</w:t>
      </w:r>
    </w:p>
    <w:p>
      <w:pPr>
        <w:pStyle w:val="ListBullet"/>
      </w:pPr>
      <w:r>
        <w:rPr>
          <w:rFonts w:ascii="Arial" w:hAnsi="Arial"/>
          <w:sz w:val="48"/>
        </w:rPr>
        <w:t>TLR Pathway Database (ImmPort, KEGG) – Immune pathway information</w:t>
      </w:r>
    </w:p>
    <w:p>
      <w:pPr>
        <w:pStyle w:val="ListBullet"/>
      </w:pPr>
      <w:r>
        <w:rPr>
          <w:rFonts w:ascii="Arial" w:hAnsi="Arial"/>
          <w:sz w:val="48"/>
        </w:rPr>
        <w:t>Innate Immune Response Prediction Engine – Machine learning classifier</w:t>
      </w:r>
    </w:p>
    <w:p>
      <w:pPr>
        <w:pStyle w:val="ListBullet"/>
      </w:pPr>
      <w:r>
        <w:rPr>
          <w:rFonts w:ascii="Arial" w:hAnsi="Arial"/>
          <w:sz w:val="48"/>
        </w:rPr>
        <w:t>Species Comparison Module – Comparative toxicology across species</w:t>
      </w:r>
    </w:p>
    <w:p>
      <w:pPr>
        <w:pStyle w:val="ListBullet"/>
      </w:pPr>
      <w:r>
        <w:rPr>
          <w:rFonts w:ascii="Arial" w:hAnsi="Arial"/>
          <w:sz w:val="48"/>
        </w:rPr>
        <w:t>Hepatotoxicity/Nephrotoxicity Prediction Tools – Organ-specific assessment</w:t>
      </w:r>
    </w:p>
    <w:sectPr w:rsidR="00FC693F" w:rsidRPr="0006063C" w:rsidSect="00034616">
      <w:pgSz w:w="12240" w:h="15840"/>
      <w:pgMar w:top="2" w:right="2" w:bottom="2" w:left="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