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64"/>
        </w:rPr>
        <w:t>Sapphire Pipeline Workflow</w:t>
      </w:r>
    </w:p>
    <w:p>
      <w:pPr>
        <w:pStyle w:val="Heading2"/>
      </w:pPr>
      <w:r>
        <w:rPr>
          <w:rFonts w:ascii="Arial" w:hAnsi="Arial"/>
          <w:b/>
          <w:sz w:val="56"/>
        </w:rPr>
        <w:t>Pipeline 028: Combination ASO Strategies for Polygenic Epilepsy</w:t>
      </w:r>
    </w:p>
    <w:p>
      <w:r>
        <w:rPr>
          <w:rFonts w:ascii="Arial" w:hAnsi="Arial"/>
          <w:sz w:val="48"/>
        </w:rPr>
        <w:t>Propose combination ASO strategies for polygenic epilepsy clusters.</w:t>
      </w:r>
    </w:p>
    <w:p>
      <w:pPr>
        <w:pStyle w:val="Heading2"/>
      </w:pPr>
      <w:r>
        <w:rPr>
          <w:rFonts w:ascii="Arial" w:hAnsi="Arial"/>
          <w:b/>
          <w:sz w:val="56"/>
        </w:rPr>
        <w:t>Pipeline Overview</w:t>
      </w:r>
    </w:p>
    <w:p>
      <w:r>
        <w:rPr>
          <w:rFonts w:ascii="Arial" w:hAnsi="Arial"/>
          <w:sz w:val="48"/>
        </w:rPr>
        <w:t>This pipeline designs rational combination antisense oligonucleotide strategies targeting multiple genes within polygenic epilepsy clusters. The workflow integrates genetic association data, pathway analysis, Quiver's electrophysiology atlas, and pharmacokinetic modeling to identify synergistic multi-gene targeting approaches with superior efficacy and manageable safety profiles.</w:t>
      </w:r>
    </w:p>
    <w:p>
      <w:r>
        <w:rPr>
          <w:rFonts w:ascii="Arial" w:hAnsi="Arial"/>
          <w:sz w:val="48"/>
        </w:rPr>
        <w:t>Polygenic epilepsy involves dysregulation across multiple genes and pathways. The pipeline leverages systems-level understanding to propose dual and triple ASO combinations that achieve superior seizure control through complementary mechanisms while maintaining acceptable CNS tolerability and minimizing off-target risk.</w:t>
      </w:r>
    </w:p>
    <w:p>
      <w:pPr>
        <w:pStyle w:val="Heading2"/>
      </w:pPr>
      <w:r>
        <w:rPr>
          <w:rFonts w:ascii="Arial" w:hAnsi="Arial"/>
          <w:b/>
          <w:sz w:val="56"/>
        </w:rPr>
        <w:t>Stage 1: Polygenic Epilepsy Cluster Definition and Gene Prioritization</w:t>
      </w:r>
    </w:p>
    <w:p>
      <w:r>
        <w:rPr>
          <w:rFonts w:ascii="Arial" w:hAnsi="Arial"/>
          <w:b/>
          <w:sz w:val="48"/>
        </w:rPr>
        <w:t xml:space="preserve">Purpose: </w:t>
      </w:r>
    </w:p>
    <w:p>
      <w:pPr>
        <w:pStyle w:val="ListBullet"/>
      </w:pPr>
      <w:r>
        <w:rPr>
          <w:rFonts w:ascii="Arial" w:hAnsi="Arial"/>
          <w:sz w:val="48"/>
        </w:rPr>
        <w:t>Define epilepsy gene clusters associated with specific seizure phenotypes and prioritize candidate genes by genetic evidence, functional relevance, and druggability.</w:t>
      </w:r>
    </w:p>
    <w:p>
      <w:r>
        <w:rPr>
          <w:rFonts w:ascii="Arial" w:hAnsi="Arial"/>
          <w:b/>
          <w:sz w:val="48"/>
        </w:rPr>
        <w:t xml:space="preserve">Inputs: </w:t>
      </w:r>
    </w:p>
    <w:p>
      <w:pPr>
        <w:pStyle w:val="ListBullet"/>
      </w:pPr>
      <w:r>
        <w:rPr>
          <w:rFonts w:ascii="Arial" w:hAnsi="Arial"/>
          <w:sz w:val="48"/>
        </w:rPr>
        <w:t>Epilepsy genome-wide association study (GWAS) data</w:t>
      </w:r>
    </w:p>
    <w:p>
      <w:pPr>
        <w:pStyle w:val="ListBullet"/>
      </w:pPr>
      <w:r>
        <w:rPr>
          <w:rFonts w:ascii="Arial" w:hAnsi="Arial"/>
          <w:sz w:val="48"/>
        </w:rPr>
        <w:t>Epilepsy gene databases (epilepsy.com, Genomics England)</w:t>
      </w:r>
    </w:p>
    <w:p>
      <w:pPr>
        <w:pStyle w:val="ListBullet"/>
      </w:pPr>
      <w:r>
        <w:rPr>
          <w:rFonts w:ascii="Arial" w:hAnsi="Arial"/>
          <w:sz w:val="48"/>
        </w:rPr>
        <w:t>Gene expression databases in epilepsy models</w:t>
      </w:r>
    </w:p>
    <w:p>
      <w:pPr>
        <w:pStyle w:val="ListBullet"/>
      </w:pPr>
      <w:r>
        <w:rPr>
          <w:rFonts w:ascii="Arial" w:hAnsi="Arial"/>
          <w:sz w:val="48"/>
        </w:rPr>
        <w:t>Quiver EP CRISPR atlas seizure phenotype data</w:t>
      </w:r>
    </w:p>
    <w:p>
      <w:pPr>
        <w:pStyle w:val="ListBullet"/>
      </w:pPr>
      <w:r>
        <w:rPr>
          <w:rFonts w:ascii="Arial" w:hAnsi="Arial"/>
          <w:sz w:val="48"/>
        </w:rPr>
        <w:t>Ion channel and neurotransmission pathway information</w:t>
      </w:r>
    </w:p>
    <w:p>
      <w:pPr>
        <w:pStyle w:val="ListBullet"/>
      </w:pPr>
      <w:r>
        <w:rPr>
          <w:rFonts w:ascii="Arial" w:hAnsi="Arial"/>
          <w:sz w:val="48"/>
        </w:rPr>
        <w:t>Published polygenic epilepsy literature</w:t>
      </w:r>
    </w:p>
    <w:p>
      <w:r>
        <w:rPr>
          <w:rFonts w:ascii="Arial" w:hAnsi="Arial"/>
          <w:b/>
          <w:sz w:val="48"/>
        </w:rPr>
        <w:t xml:space="preserve">Tools &amp; Databases Called: </w:t>
      </w:r>
    </w:p>
    <w:p>
      <w:pPr>
        <w:pStyle w:val="ListBullet"/>
      </w:pPr>
      <w:r>
        <w:rPr>
          <w:rFonts w:ascii="Arial" w:hAnsi="Arial"/>
          <w:sz w:val="48"/>
        </w:rPr>
        <w:t>GWAS database (dbGaP, GWAS Catalog)</w:t>
      </w:r>
    </w:p>
    <w:p>
      <w:pPr>
        <w:pStyle w:val="ListBullet"/>
      </w:pPr>
      <w:r>
        <w:rPr>
          <w:rFonts w:ascii="Arial" w:hAnsi="Arial"/>
          <w:sz w:val="48"/>
        </w:rPr>
        <w:t>Epilepsy Gene Database – Curated epilepsy genes</w:t>
      </w:r>
    </w:p>
    <w:p>
      <w:pPr>
        <w:pStyle w:val="ListBullet"/>
      </w:pPr>
      <w:r>
        <w:rPr>
          <w:rFonts w:ascii="Arial" w:hAnsi="Arial"/>
          <w:sz w:val="48"/>
        </w:rPr>
        <w:t>DisGeNET – Gene-disease association database</w:t>
      </w:r>
    </w:p>
    <w:p>
      <w:pPr>
        <w:pStyle w:val="ListBullet"/>
      </w:pPr>
      <w:r>
        <w:rPr>
          <w:rFonts w:ascii="Arial" w:hAnsi="Arial"/>
          <w:sz w:val="48"/>
        </w:rPr>
        <w:t>Quiver EP CRISPR atlas – Seizure-related perturbations</w:t>
      </w:r>
    </w:p>
    <w:p>
      <w:pPr>
        <w:pStyle w:val="ListBullet"/>
      </w:pPr>
      <w:r>
        <w:rPr>
          <w:rFonts w:ascii="Arial" w:hAnsi="Arial"/>
          <w:sz w:val="48"/>
        </w:rPr>
        <w:t>KEGG Pathway Database – Ion channels, neurotransmission</w:t>
      </w:r>
    </w:p>
    <w:p>
      <w:pPr>
        <w:pStyle w:val="ListBullet"/>
      </w:pPr>
      <w:r>
        <w:rPr>
          <w:rFonts w:ascii="Arial" w:hAnsi="Arial"/>
          <w:sz w:val="48"/>
        </w:rPr>
        <w:t>Reactome – Molecular interaction networks</w:t>
      </w:r>
    </w:p>
    <w:p>
      <w:pPr>
        <w:pStyle w:val="ListBullet"/>
      </w:pPr>
      <w:r>
        <w:rPr>
          <w:rFonts w:ascii="Arial" w:hAnsi="Arial"/>
          <w:sz w:val="48"/>
        </w:rPr>
        <w:t>UniProt – Protein annotations and druggability</w:t>
      </w:r>
    </w:p>
    <w:p>
      <w:pPr>
        <w:pStyle w:val="ListBullet"/>
      </w:pPr>
      <w:r>
        <w:rPr>
          <w:rFonts w:ascii="Arial" w:hAnsi="Arial"/>
          <w:sz w:val="48"/>
        </w:rPr>
        <w:t>Gene Ontology Database – Functional annotations</w:t>
      </w:r>
    </w:p>
    <w:p>
      <w:r>
        <w:rPr>
          <w:rFonts w:ascii="Arial" w:hAnsi="Arial"/>
          <w:b/>
          <w:sz w:val="48"/>
        </w:rPr>
        <w:t xml:space="preserve">Exemplary Sub-Prompts: </w:t>
      </w:r>
    </w:p>
    <w:p>
      <w:pPr>
        <w:pStyle w:val="ListBullet"/>
      </w:pPr>
      <w:r>
        <w:rPr>
          <w:rFonts w:ascii="Arial" w:hAnsi="Arial"/>
          <w:sz w:val="48"/>
        </w:rPr>
        <w:t>Identify GWAS-associated genes for specific epilepsy subtypes.</w:t>
      </w:r>
    </w:p>
    <w:p>
      <w:pPr>
        <w:pStyle w:val="ListBullet"/>
      </w:pPr>
      <w:r>
        <w:rPr>
          <w:rFonts w:ascii="Arial" w:hAnsi="Arial"/>
          <w:sz w:val="48"/>
        </w:rPr>
        <w:t>Rank epilepsy genes by genetic evidence strength and recurrence.</w:t>
      </w:r>
    </w:p>
    <w:p>
      <w:pPr>
        <w:pStyle w:val="ListBullet"/>
      </w:pPr>
      <w:r>
        <w:rPr>
          <w:rFonts w:ascii="Arial" w:hAnsi="Arial"/>
          <w:sz w:val="48"/>
        </w:rPr>
        <w:t>Map genes to functional pathways (ion channels, synaptic transmission, neuroinflammation).</w:t>
      </w:r>
    </w:p>
    <w:p>
      <w:pPr>
        <w:pStyle w:val="ListBullet"/>
      </w:pPr>
      <w:r>
        <w:rPr>
          <w:rFonts w:ascii="Arial" w:hAnsi="Arial"/>
          <w:sz w:val="48"/>
        </w:rPr>
        <w:t>Cross-reference with Quiver seizure phenotype data.</w:t>
      </w:r>
    </w:p>
    <w:p>
      <w:pPr>
        <w:pStyle w:val="ListBullet"/>
      </w:pPr>
      <w:r>
        <w:rPr>
          <w:rFonts w:ascii="Arial" w:hAnsi="Arial"/>
          <w:sz w:val="48"/>
        </w:rPr>
        <w:t>Assess druggability and ASO tractability for each gene.</w:t>
      </w:r>
    </w:p>
    <w:p>
      <w:r>
        <w:rPr>
          <w:rFonts w:ascii="Arial" w:hAnsi="Arial"/>
          <w:b/>
          <w:sz w:val="48"/>
        </w:rPr>
        <w:t xml:space="preserve">Expected Outputs: </w:t>
      </w:r>
    </w:p>
    <w:p>
      <w:pPr>
        <w:pStyle w:val="ListBullet"/>
      </w:pPr>
      <w:r>
        <w:rPr>
          <w:rFonts w:ascii="Arial" w:hAnsi="Arial"/>
          <w:sz w:val="48"/>
        </w:rPr>
        <w:t>Prioritized list of 10–15 candidate genes for target epilepsy subtype</w:t>
      </w:r>
    </w:p>
    <w:p>
      <w:pPr>
        <w:pStyle w:val="ListBullet"/>
      </w:pPr>
      <w:r>
        <w:rPr>
          <w:rFonts w:ascii="Arial" w:hAnsi="Arial"/>
          <w:sz w:val="48"/>
        </w:rPr>
        <w:t>GWAS evidence summary (association statistics, effect sizes)</w:t>
      </w:r>
    </w:p>
    <w:p>
      <w:pPr>
        <w:pStyle w:val="ListBullet"/>
      </w:pPr>
      <w:r>
        <w:rPr>
          <w:rFonts w:ascii="Arial" w:hAnsi="Arial"/>
          <w:sz w:val="48"/>
        </w:rPr>
        <w:t>Functional pathway mapping</w:t>
      </w:r>
    </w:p>
    <w:p>
      <w:pPr>
        <w:pStyle w:val="ListBullet"/>
      </w:pPr>
      <w:r>
        <w:rPr>
          <w:rFonts w:ascii="Arial" w:hAnsi="Arial"/>
          <w:sz w:val="48"/>
        </w:rPr>
        <w:t>Quiver atlas seizure phenotype correlations</w:t>
      </w:r>
    </w:p>
    <w:p>
      <w:pPr>
        <w:pStyle w:val="ListBullet"/>
      </w:pPr>
      <w:r>
        <w:rPr>
          <w:rFonts w:ascii="Arial" w:hAnsi="Arial"/>
          <w:sz w:val="48"/>
        </w:rPr>
        <w:t>Genetic clustering identifying gene networks</w:t>
      </w:r>
    </w:p>
    <w:p>
      <w:pPr>
        <w:pStyle w:val="ListBullet"/>
      </w:pPr>
      <w:r>
        <w:rPr>
          <w:rFonts w:ascii="Arial" w:hAnsi="Arial"/>
          <w:sz w:val="48"/>
        </w:rPr>
        <w:t>Druggability assessment for each candidate gene</w:t>
      </w:r>
    </w:p>
    <w:p>
      <w:r>
        <w:rPr>
          <w:rFonts w:ascii="Arial" w:hAnsi="Arial"/>
          <w:b/>
          <w:sz w:val="48"/>
        </w:rPr>
        <w:t xml:space="preserve">Format: </w:t>
      </w:r>
    </w:p>
    <w:p>
      <w:pPr>
        <w:pStyle w:val="ListBullet"/>
      </w:pPr>
      <w:r>
        <w:rPr>
          <w:rFonts w:ascii="Arial" w:hAnsi="Arial"/>
          <w:sz w:val="48"/>
        </w:rPr>
        <w:t>Prioritized gene list with GWAS statistics; pathway diagrams; gene-disease association matrix; clustering dendrogram.</w:t>
      </w:r>
    </w:p>
    <w:p>
      <w:pPr>
        <w:pStyle w:val="Heading2"/>
      </w:pPr>
      <w:r>
        <w:rPr>
          <w:rFonts w:ascii="Arial" w:hAnsi="Arial"/>
          <w:b/>
          <w:sz w:val="56"/>
        </w:rPr>
        <w:t>Stage 2: Gene Interaction Network Analysis and Synergy Assessment</w:t>
      </w:r>
    </w:p>
    <w:p>
      <w:r>
        <w:rPr>
          <w:rFonts w:ascii="Arial" w:hAnsi="Arial"/>
          <w:b/>
          <w:sz w:val="48"/>
        </w:rPr>
        <w:t xml:space="preserve">Purpose: </w:t>
      </w:r>
    </w:p>
    <w:p>
      <w:pPr>
        <w:pStyle w:val="ListBullet"/>
      </w:pPr>
      <w:r>
        <w:rPr>
          <w:rFonts w:ascii="Arial" w:hAnsi="Arial"/>
          <w:sz w:val="48"/>
        </w:rPr>
        <w:t>Analyze gene-gene and pathway-pathway interactions to identify combinations with predicted synergistic effects on seizure suppression.</w:t>
      </w:r>
    </w:p>
    <w:p>
      <w:r>
        <w:rPr>
          <w:rFonts w:ascii="Arial" w:hAnsi="Arial"/>
          <w:b/>
          <w:sz w:val="48"/>
        </w:rPr>
        <w:t xml:space="preserve">Inputs: </w:t>
      </w:r>
    </w:p>
    <w:p>
      <w:pPr>
        <w:pStyle w:val="ListBullet"/>
      </w:pPr>
      <w:r>
        <w:rPr>
          <w:rFonts w:ascii="Arial" w:hAnsi="Arial"/>
          <w:sz w:val="48"/>
        </w:rPr>
        <w:t>Prioritized epilepsy gene list from Stage 1</w:t>
      </w:r>
    </w:p>
    <w:p>
      <w:pPr>
        <w:pStyle w:val="ListBullet"/>
      </w:pPr>
      <w:r>
        <w:rPr>
          <w:rFonts w:ascii="Arial" w:hAnsi="Arial"/>
          <w:sz w:val="48"/>
        </w:rPr>
        <w:t>Protein-protein interaction databases</w:t>
      </w:r>
    </w:p>
    <w:p>
      <w:pPr>
        <w:pStyle w:val="ListBullet"/>
      </w:pPr>
      <w:r>
        <w:rPr>
          <w:rFonts w:ascii="Arial" w:hAnsi="Arial"/>
          <w:sz w:val="48"/>
        </w:rPr>
        <w:t>Gene co-expression networks</w:t>
      </w:r>
    </w:p>
    <w:p>
      <w:pPr>
        <w:pStyle w:val="ListBullet"/>
      </w:pPr>
      <w:r>
        <w:rPr>
          <w:rFonts w:ascii="Arial" w:hAnsi="Arial"/>
          <w:sz w:val="48"/>
        </w:rPr>
        <w:t>Pathway interaction maps</w:t>
      </w:r>
    </w:p>
    <w:p>
      <w:pPr>
        <w:pStyle w:val="ListBullet"/>
      </w:pPr>
      <w:r>
        <w:rPr>
          <w:rFonts w:ascii="Arial" w:hAnsi="Arial"/>
          <w:sz w:val="48"/>
        </w:rPr>
        <w:t>Quiver perturbation interaction data</w:t>
      </w:r>
    </w:p>
    <w:p>
      <w:pPr>
        <w:pStyle w:val="ListBullet"/>
      </w:pPr>
      <w:r>
        <w:rPr>
          <w:rFonts w:ascii="Arial" w:hAnsi="Arial"/>
          <w:sz w:val="48"/>
        </w:rPr>
        <w:t>Published combination therapy literature</w:t>
      </w:r>
    </w:p>
    <w:p>
      <w:r>
        <w:rPr>
          <w:rFonts w:ascii="Arial" w:hAnsi="Arial"/>
          <w:b/>
          <w:sz w:val="48"/>
        </w:rPr>
        <w:t xml:space="preserve">Tools &amp; Databases Called: </w:t>
      </w:r>
    </w:p>
    <w:p>
      <w:pPr>
        <w:pStyle w:val="ListBullet"/>
      </w:pPr>
      <w:r>
        <w:rPr>
          <w:rFonts w:ascii="Arial" w:hAnsi="Arial"/>
          <w:sz w:val="48"/>
        </w:rPr>
        <w:t>STRING Database – Protein interaction network</w:t>
      </w:r>
    </w:p>
    <w:p>
      <w:pPr>
        <w:pStyle w:val="ListBullet"/>
      </w:pPr>
      <w:r>
        <w:rPr>
          <w:rFonts w:ascii="Arial" w:hAnsi="Arial"/>
          <w:sz w:val="48"/>
        </w:rPr>
        <w:t>BioGRID – Genetic and protein interactions</w:t>
      </w:r>
    </w:p>
    <w:p>
      <w:pPr>
        <w:pStyle w:val="ListBullet"/>
      </w:pPr>
      <w:r>
        <w:rPr>
          <w:rFonts w:ascii="Arial" w:hAnsi="Arial"/>
          <w:sz w:val="48"/>
        </w:rPr>
        <w:t>PathwayCommons – Molecular interaction database</w:t>
      </w:r>
    </w:p>
    <w:p>
      <w:pPr>
        <w:pStyle w:val="ListBullet"/>
      </w:pPr>
      <w:r>
        <w:rPr>
          <w:rFonts w:ascii="Arial" w:hAnsi="Arial"/>
          <w:sz w:val="48"/>
        </w:rPr>
        <w:t>Gene Co-expression Database – Network relationships</w:t>
      </w:r>
    </w:p>
    <w:p>
      <w:pPr>
        <w:pStyle w:val="ListBullet"/>
      </w:pPr>
      <w:r>
        <w:rPr>
          <w:rFonts w:ascii="Arial" w:hAnsi="Arial"/>
          <w:sz w:val="48"/>
        </w:rPr>
        <w:t>Quiver interaction prediction module</w:t>
      </w:r>
    </w:p>
    <w:p>
      <w:pPr>
        <w:pStyle w:val="ListBullet"/>
      </w:pPr>
      <w:r>
        <w:rPr>
          <w:rFonts w:ascii="Arial" w:hAnsi="Arial"/>
          <w:sz w:val="48"/>
        </w:rPr>
        <w:t>Network analysis tool (Cytoscape, igraph)</w:t>
      </w:r>
    </w:p>
    <w:p>
      <w:pPr>
        <w:pStyle w:val="ListBullet"/>
      </w:pPr>
      <w:r>
        <w:rPr>
          <w:rFonts w:ascii="Arial" w:hAnsi="Arial"/>
          <w:sz w:val="48"/>
        </w:rPr>
        <w:t>Synergy prediction algorithm (machine learning)</w:t>
      </w:r>
    </w:p>
    <w:p>
      <w:pPr>
        <w:pStyle w:val="ListBullet"/>
      </w:pPr>
      <w:r>
        <w:rPr>
          <w:rFonts w:ascii="Arial" w:hAnsi="Arial"/>
          <w:sz w:val="48"/>
        </w:rPr>
        <w:t>Systems biology pathway model</w:t>
      </w:r>
    </w:p>
    <w:p>
      <w:r>
        <w:rPr>
          <w:rFonts w:ascii="Arial" w:hAnsi="Arial"/>
          <w:b/>
          <w:sz w:val="48"/>
        </w:rPr>
        <w:t xml:space="preserve">Exemplary Sub-Prompts: </w:t>
      </w:r>
    </w:p>
    <w:p>
      <w:pPr>
        <w:pStyle w:val="ListBullet"/>
      </w:pPr>
      <w:r>
        <w:rPr>
          <w:rFonts w:ascii="Arial" w:hAnsi="Arial"/>
          <w:sz w:val="48"/>
        </w:rPr>
        <w:t>Map protein-protein interactions between candidate epilepsy genes.</w:t>
      </w:r>
    </w:p>
    <w:p>
      <w:pPr>
        <w:pStyle w:val="ListBullet"/>
      </w:pPr>
      <w:r>
        <w:rPr>
          <w:rFonts w:ascii="Arial" w:hAnsi="Arial"/>
          <w:sz w:val="48"/>
        </w:rPr>
        <w:t>Identify shared pathways and functionally related gene pairs.</w:t>
      </w:r>
    </w:p>
    <w:p>
      <w:pPr>
        <w:pStyle w:val="ListBullet"/>
      </w:pPr>
      <w:r>
        <w:rPr>
          <w:rFonts w:ascii="Arial" w:hAnsi="Arial"/>
          <w:sz w:val="48"/>
        </w:rPr>
        <w:t>Analyze co-expression patterns in epilepsy models.</w:t>
      </w:r>
    </w:p>
    <w:p>
      <w:pPr>
        <w:pStyle w:val="ListBullet"/>
      </w:pPr>
      <w:r>
        <w:rPr>
          <w:rFonts w:ascii="Arial" w:hAnsi="Arial"/>
          <w:sz w:val="48"/>
        </w:rPr>
        <w:t>Query Quiver for predicted synergistic knockdown effects.</w:t>
      </w:r>
    </w:p>
    <w:p>
      <w:pPr>
        <w:pStyle w:val="ListBullet"/>
      </w:pPr>
      <w:r>
        <w:rPr>
          <w:rFonts w:ascii="Arial" w:hAnsi="Arial"/>
          <w:sz w:val="48"/>
        </w:rPr>
        <w:t>Score gene pair combinations by predicted seizure suppression synergy.</w:t>
      </w:r>
    </w:p>
    <w:p>
      <w:r>
        <w:rPr>
          <w:rFonts w:ascii="Arial" w:hAnsi="Arial"/>
          <w:b/>
          <w:sz w:val="48"/>
        </w:rPr>
        <w:t xml:space="preserve">Expected Outputs: </w:t>
      </w:r>
    </w:p>
    <w:p>
      <w:pPr>
        <w:pStyle w:val="ListBullet"/>
      </w:pPr>
      <w:r>
        <w:rPr>
          <w:rFonts w:ascii="Arial" w:hAnsi="Arial"/>
          <w:sz w:val="48"/>
        </w:rPr>
        <w:t>Gene interaction networks with pathway annotations</w:t>
      </w:r>
    </w:p>
    <w:p>
      <w:pPr>
        <w:pStyle w:val="ListBullet"/>
      </w:pPr>
      <w:r>
        <w:rPr>
          <w:rFonts w:ascii="Arial" w:hAnsi="Arial"/>
          <w:sz w:val="48"/>
        </w:rPr>
        <w:t>Predicted synergistic gene pair combinations (ranked by synergy score)</w:t>
      </w:r>
    </w:p>
    <w:p>
      <w:pPr>
        <w:pStyle w:val="ListBullet"/>
      </w:pPr>
      <w:r>
        <w:rPr>
          <w:rFonts w:ascii="Arial" w:hAnsi="Arial"/>
          <w:sz w:val="48"/>
        </w:rPr>
        <w:t>Triple-gene combination proposals with mechanistic justification</w:t>
      </w:r>
    </w:p>
    <w:p>
      <w:pPr>
        <w:pStyle w:val="ListBullet"/>
      </w:pPr>
      <w:r>
        <w:rPr>
          <w:rFonts w:ascii="Arial" w:hAnsi="Arial"/>
          <w:sz w:val="48"/>
        </w:rPr>
        <w:t>Pathway-level interaction analysis</w:t>
      </w:r>
    </w:p>
    <w:p>
      <w:pPr>
        <w:pStyle w:val="ListBullet"/>
      </w:pPr>
      <w:r>
        <w:rPr>
          <w:rFonts w:ascii="Arial" w:hAnsi="Arial"/>
          <w:sz w:val="48"/>
        </w:rPr>
        <w:t>Network analysis showing functional gene clustering</w:t>
      </w:r>
    </w:p>
    <w:p>
      <w:pPr>
        <w:pStyle w:val="ListBullet"/>
      </w:pPr>
      <w:r>
        <w:rPr>
          <w:rFonts w:ascii="Arial" w:hAnsi="Arial"/>
          <w:sz w:val="48"/>
        </w:rPr>
        <w:t>Synergy predictions with confidence metrics</w:t>
      </w:r>
    </w:p>
    <w:p>
      <w:r>
        <w:rPr>
          <w:rFonts w:ascii="Arial" w:hAnsi="Arial"/>
          <w:b/>
          <w:sz w:val="48"/>
        </w:rPr>
        <w:t xml:space="preserve">Format: </w:t>
      </w:r>
    </w:p>
    <w:p>
      <w:pPr>
        <w:pStyle w:val="ListBullet"/>
      </w:pPr>
      <w:r>
        <w:rPr>
          <w:rFonts w:ascii="Arial" w:hAnsi="Arial"/>
          <w:sz w:val="48"/>
        </w:rPr>
        <w:t>Interaction network diagrams; synergy scoring matrix; pathway interaction maps; combination ranking tables.</w:t>
      </w:r>
    </w:p>
    <w:p>
      <w:pPr>
        <w:pStyle w:val="Heading2"/>
      </w:pPr>
      <w:r>
        <w:rPr>
          <w:rFonts w:ascii="Arial" w:hAnsi="Arial"/>
          <w:b/>
          <w:sz w:val="56"/>
        </w:rPr>
        <w:t>Stage 3: Rational Combination ASO Design and Sequence Optimization</w:t>
      </w:r>
    </w:p>
    <w:p>
      <w:r>
        <w:rPr>
          <w:rFonts w:ascii="Arial" w:hAnsi="Arial"/>
          <w:b/>
          <w:sz w:val="48"/>
        </w:rPr>
        <w:t xml:space="preserve">Purpose: </w:t>
      </w:r>
    </w:p>
    <w:p>
      <w:pPr>
        <w:pStyle w:val="ListBullet"/>
      </w:pPr>
      <w:r>
        <w:rPr>
          <w:rFonts w:ascii="Arial" w:hAnsi="Arial"/>
          <w:sz w:val="48"/>
        </w:rPr>
        <w:t>Design optimized ASO sequences for each gene in proposed combination strategies, ensuring compatibility for co-administration and individual on-target efficacy.</w:t>
      </w:r>
    </w:p>
    <w:p>
      <w:r>
        <w:rPr>
          <w:rFonts w:ascii="Arial" w:hAnsi="Arial"/>
          <w:b/>
          <w:sz w:val="48"/>
        </w:rPr>
        <w:t xml:space="preserve">Inputs: </w:t>
      </w:r>
    </w:p>
    <w:p>
      <w:pPr>
        <w:pStyle w:val="ListBullet"/>
      </w:pPr>
      <w:r>
        <w:rPr>
          <w:rFonts w:ascii="Arial" w:hAnsi="Arial"/>
          <w:sz w:val="48"/>
        </w:rPr>
        <w:t>Top gene combinations from Stage 2</w:t>
      </w:r>
    </w:p>
    <w:p>
      <w:pPr>
        <w:pStyle w:val="ListBullet"/>
      </w:pPr>
      <w:r>
        <w:rPr>
          <w:rFonts w:ascii="Arial" w:hAnsi="Arial"/>
          <w:sz w:val="48"/>
        </w:rPr>
        <w:t>Quiver knockdown efficiency data</w:t>
      </w:r>
    </w:p>
    <w:p>
      <w:pPr>
        <w:pStyle w:val="ListBullet"/>
      </w:pPr>
      <w:r>
        <w:rPr>
          <w:rFonts w:ascii="Arial" w:hAnsi="Arial"/>
          <w:sz w:val="48"/>
        </w:rPr>
        <w:t>ASO design optimization parameters</w:t>
      </w:r>
    </w:p>
    <w:p>
      <w:pPr>
        <w:pStyle w:val="ListBullet"/>
      </w:pPr>
      <w:r>
        <w:rPr>
          <w:rFonts w:ascii="Arial" w:hAnsi="Arial"/>
          <w:sz w:val="48"/>
        </w:rPr>
        <w:t>Chemical modification compatibility data</w:t>
      </w:r>
    </w:p>
    <w:p>
      <w:pPr>
        <w:pStyle w:val="ListBullet"/>
      </w:pPr>
      <w:r>
        <w:rPr>
          <w:rFonts w:ascii="Arial" w:hAnsi="Arial"/>
          <w:sz w:val="48"/>
        </w:rPr>
        <w:t>Formulation requirements for multi-ASO combinations</w:t>
      </w:r>
    </w:p>
    <w:p>
      <w:r>
        <w:rPr>
          <w:rFonts w:ascii="Arial" w:hAnsi="Arial"/>
          <w:b/>
          <w:sz w:val="48"/>
        </w:rPr>
        <w:t xml:space="preserve">Tools &amp; Databases Called: </w:t>
      </w:r>
    </w:p>
    <w:p>
      <w:pPr>
        <w:pStyle w:val="ListBullet"/>
      </w:pPr>
      <w:r>
        <w:rPr>
          <w:rFonts w:ascii="Arial" w:hAnsi="Arial"/>
          <w:sz w:val="48"/>
        </w:rPr>
        <w:t>ASO design module (optimized for multiple sequences)</w:t>
      </w:r>
    </w:p>
    <w:p>
      <w:pPr>
        <w:pStyle w:val="ListBullet"/>
      </w:pPr>
      <w:r>
        <w:rPr>
          <w:rFonts w:ascii="Arial" w:hAnsi="Arial"/>
          <w:sz w:val="48"/>
        </w:rPr>
        <w:t>Quiver efficacy prediction engine</w:t>
      </w:r>
    </w:p>
    <w:p>
      <w:pPr>
        <w:pStyle w:val="ListBullet"/>
      </w:pPr>
      <w:r>
        <w:rPr>
          <w:rFonts w:ascii="Arial" w:hAnsi="Arial"/>
          <w:sz w:val="48"/>
        </w:rPr>
        <w:t>Off-target prediction tool (per-sequence and cross-sequence analysis)</w:t>
      </w:r>
    </w:p>
    <w:p>
      <w:pPr>
        <w:pStyle w:val="ListBullet"/>
      </w:pPr>
      <w:r>
        <w:rPr>
          <w:rFonts w:ascii="Arial" w:hAnsi="Arial"/>
          <w:sz w:val="48"/>
        </w:rPr>
        <w:t>Chemistry compatibility checker</w:t>
      </w:r>
    </w:p>
    <w:p>
      <w:pPr>
        <w:pStyle w:val="ListBullet"/>
      </w:pPr>
      <w:r>
        <w:rPr>
          <w:rFonts w:ascii="Arial" w:hAnsi="Arial"/>
          <w:sz w:val="48"/>
        </w:rPr>
        <w:t>Co-formulation assessment module</w:t>
      </w:r>
    </w:p>
    <w:p>
      <w:pPr>
        <w:pStyle w:val="ListBullet"/>
      </w:pPr>
      <w:r>
        <w:rPr>
          <w:rFonts w:ascii="Arial" w:hAnsi="Arial"/>
          <w:sz w:val="48"/>
        </w:rPr>
        <w:t>Pharmacokinetic interaction predictor</w:t>
      </w:r>
    </w:p>
    <w:p>
      <w:pPr>
        <w:pStyle w:val="ListBullet"/>
      </w:pPr>
      <w:r>
        <w:rPr>
          <w:rFonts w:ascii="Arial" w:hAnsi="Arial"/>
          <w:sz w:val="48"/>
        </w:rPr>
        <w:t>Sequence optimization algorithm</w:t>
      </w:r>
    </w:p>
    <w:p>
      <w:r>
        <w:rPr>
          <w:rFonts w:ascii="Arial" w:hAnsi="Arial"/>
          <w:b/>
          <w:sz w:val="48"/>
        </w:rPr>
        <w:t xml:space="preserve">Exemplary Sub-Prompts: </w:t>
      </w:r>
    </w:p>
    <w:p>
      <w:pPr>
        <w:pStyle w:val="ListBullet"/>
      </w:pPr>
      <w:r>
        <w:rPr>
          <w:rFonts w:ascii="Arial" w:hAnsi="Arial"/>
          <w:sz w:val="48"/>
        </w:rPr>
        <w:t>Design optimal ASO sequences for each combination gene.</w:t>
      </w:r>
    </w:p>
    <w:p>
      <w:pPr>
        <w:pStyle w:val="ListBullet"/>
      </w:pPr>
      <w:r>
        <w:rPr>
          <w:rFonts w:ascii="Arial" w:hAnsi="Arial"/>
          <w:sz w:val="48"/>
        </w:rPr>
        <w:t>Predict individual on-target knockdown efficiency for each ASO.</w:t>
      </w:r>
    </w:p>
    <w:p>
      <w:pPr>
        <w:pStyle w:val="ListBullet"/>
      </w:pPr>
      <w:r>
        <w:rPr>
          <w:rFonts w:ascii="Arial" w:hAnsi="Arial"/>
          <w:sz w:val="48"/>
        </w:rPr>
        <w:t>Assess off-target risk for each sequence and combination interactions.</w:t>
      </w:r>
    </w:p>
    <w:p>
      <w:pPr>
        <w:pStyle w:val="ListBullet"/>
      </w:pPr>
      <w:r>
        <w:rPr>
          <w:rFonts w:ascii="Arial" w:hAnsi="Arial"/>
          <w:sz w:val="48"/>
        </w:rPr>
        <w:t>Identify compatible chemistry modifications for co-administration.</w:t>
      </w:r>
    </w:p>
    <w:p>
      <w:pPr>
        <w:pStyle w:val="ListBullet"/>
      </w:pPr>
      <w:r>
        <w:rPr>
          <w:rFonts w:ascii="Arial" w:hAnsi="Arial"/>
          <w:sz w:val="48"/>
        </w:rPr>
        <w:t>Predict PK interactions and optimal dosing strategies.</w:t>
      </w:r>
    </w:p>
    <w:p>
      <w:r>
        <w:rPr>
          <w:rFonts w:ascii="Arial" w:hAnsi="Arial"/>
          <w:b/>
          <w:sz w:val="48"/>
        </w:rPr>
        <w:t xml:space="preserve">Expected Outputs: </w:t>
      </w:r>
    </w:p>
    <w:p>
      <w:pPr>
        <w:pStyle w:val="ListBullet"/>
      </w:pPr>
      <w:r>
        <w:rPr>
          <w:rFonts w:ascii="Arial" w:hAnsi="Arial"/>
          <w:sz w:val="48"/>
        </w:rPr>
        <w:t>Optimized ASO sequences for all combination genes</w:t>
      </w:r>
    </w:p>
    <w:p>
      <w:pPr>
        <w:pStyle w:val="ListBullet"/>
      </w:pPr>
      <w:r>
        <w:rPr>
          <w:rFonts w:ascii="Arial" w:hAnsi="Arial"/>
          <w:sz w:val="48"/>
        </w:rPr>
        <w:t>Individual knockdown efficiency predictions</w:t>
      </w:r>
    </w:p>
    <w:p>
      <w:pPr>
        <w:pStyle w:val="ListBullet"/>
      </w:pPr>
      <w:r>
        <w:rPr>
          <w:rFonts w:ascii="Arial" w:hAnsi="Arial"/>
          <w:sz w:val="48"/>
        </w:rPr>
        <w:t>Off-target risk assessment (per-ASO and combination interactions)</w:t>
      </w:r>
    </w:p>
    <w:p>
      <w:pPr>
        <w:pStyle w:val="ListBullet"/>
      </w:pPr>
      <w:r>
        <w:rPr>
          <w:rFonts w:ascii="Arial" w:hAnsi="Arial"/>
          <w:sz w:val="48"/>
        </w:rPr>
        <w:t>Chemistry specifications for each ASO and combination</w:t>
      </w:r>
    </w:p>
    <w:p>
      <w:pPr>
        <w:pStyle w:val="ListBullet"/>
      </w:pPr>
      <w:r>
        <w:rPr>
          <w:rFonts w:ascii="Arial" w:hAnsi="Arial"/>
          <w:sz w:val="48"/>
        </w:rPr>
        <w:t>Co-formulation compatibility data</w:t>
      </w:r>
    </w:p>
    <w:p>
      <w:pPr>
        <w:pStyle w:val="ListBullet"/>
      </w:pPr>
      <w:r>
        <w:rPr>
          <w:rFonts w:ascii="Arial" w:hAnsi="Arial"/>
          <w:sz w:val="48"/>
        </w:rPr>
        <w:t>Recommended ASO dosing ratios and intervals</w:t>
      </w:r>
    </w:p>
    <w:p>
      <w:pPr>
        <w:pStyle w:val="ListBullet"/>
      </w:pPr>
      <w:r>
        <w:rPr>
          <w:rFonts w:ascii="Arial" w:hAnsi="Arial"/>
          <w:sz w:val="48"/>
        </w:rPr>
        <w:t>Combination-specific design specifications</w:t>
      </w:r>
    </w:p>
    <w:p>
      <w:r>
        <w:rPr>
          <w:rFonts w:ascii="Arial" w:hAnsi="Arial"/>
          <w:b/>
          <w:sz w:val="48"/>
        </w:rPr>
        <w:t xml:space="preserve">Format: </w:t>
      </w:r>
    </w:p>
    <w:p>
      <w:pPr>
        <w:pStyle w:val="ListBullet"/>
      </w:pPr>
      <w:r>
        <w:rPr>
          <w:rFonts w:ascii="Arial" w:hAnsi="Arial"/>
          <w:sz w:val="48"/>
        </w:rPr>
        <w:t>Sequence table with efficacy predictions; off-target heatmaps; formulation specifications; dosing recommendations.</w:t>
      </w:r>
    </w:p>
    <w:p>
      <w:pPr>
        <w:pStyle w:val="Heading2"/>
      </w:pPr>
      <w:r>
        <w:rPr>
          <w:rFonts w:ascii="Arial" w:hAnsi="Arial"/>
          <w:b/>
          <w:sz w:val="56"/>
        </w:rPr>
        <w:t>Stage 4: Combination Efficacy Prediction Using Quiver Atlas</w:t>
      </w:r>
    </w:p>
    <w:p>
      <w:r>
        <w:rPr>
          <w:rFonts w:ascii="Arial" w:hAnsi="Arial"/>
          <w:b/>
          <w:sz w:val="48"/>
        </w:rPr>
        <w:t xml:space="preserve">Purpose: </w:t>
      </w:r>
    </w:p>
    <w:p>
      <w:pPr>
        <w:pStyle w:val="ListBullet"/>
      </w:pPr>
      <w:r>
        <w:rPr>
          <w:rFonts w:ascii="Arial" w:hAnsi="Arial"/>
          <w:sz w:val="48"/>
        </w:rPr>
        <w:t>Predict seizure suppression efficacy for each proposed combination using Quiver's 18,000 gene perturbation atlas and electrophysiological seizure models.</w:t>
      </w:r>
    </w:p>
    <w:p>
      <w:r>
        <w:rPr>
          <w:rFonts w:ascii="Arial" w:hAnsi="Arial"/>
          <w:b/>
          <w:sz w:val="48"/>
        </w:rPr>
        <w:t xml:space="preserve">Inputs: </w:t>
      </w:r>
    </w:p>
    <w:p>
      <w:pPr>
        <w:pStyle w:val="ListBullet"/>
      </w:pPr>
      <w:r>
        <w:rPr>
          <w:rFonts w:ascii="Arial" w:hAnsi="Arial"/>
          <w:sz w:val="48"/>
        </w:rPr>
        <w:t>Designed ASO combinations from Stage 3</w:t>
      </w:r>
    </w:p>
    <w:p>
      <w:pPr>
        <w:pStyle w:val="ListBullet"/>
      </w:pPr>
      <w:r>
        <w:rPr>
          <w:rFonts w:ascii="Arial" w:hAnsi="Arial"/>
          <w:sz w:val="48"/>
        </w:rPr>
        <w:t>Quiver EP CRISPR atlas (seizure phenotypes, 500+ features)</w:t>
      </w:r>
    </w:p>
    <w:p>
      <w:pPr>
        <w:pStyle w:val="ListBullet"/>
      </w:pPr>
      <w:r>
        <w:rPr>
          <w:rFonts w:ascii="Arial" w:hAnsi="Arial"/>
          <w:sz w:val="48"/>
        </w:rPr>
        <w:t>Knockdown efficiency predictions for each ASO</w:t>
      </w:r>
    </w:p>
    <w:p>
      <w:pPr>
        <w:pStyle w:val="ListBullet"/>
      </w:pPr>
      <w:r>
        <w:rPr>
          <w:rFonts w:ascii="Arial" w:hAnsi="Arial"/>
          <w:sz w:val="48"/>
        </w:rPr>
        <w:t>Gene interaction functional outcomes</w:t>
      </w:r>
    </w:p>
    <w:p>
      <w:pPr>
        <w:pStyle w:val="ListBullet"/>
      </w:pPr>
      <w:r>
        <w:rPr>
          <w:rFonts w:ascii="Arial" w:hAnsi="Arial"/>
          <w:sz w:val="48"/>
        </w:rPr>
        <w:t>Seizure susceptibility genetic background data</w:t>
      </w:r>
    </w:p>
    <w:p>
      <w:pPr>
        <w:pStyle w:val="ListBullet"/>
      </w:pPr>
      <w:r>
        <w:rPr>
          <w:rFonts w:ascii="Arial" w:hAnsi="Arial"/>
          <w:sz w:val="48"/>
        </w:rPr>
        <w:t>Epilepsy type-specific phenotype maps</w:t>
      </w:r>
    </w:p>
    <w:p>
      <w:r>
        <w:rPr>
          <w:rFonts w:ascii="Arial" w:hAnsi="Arial"/>
          <w:b/>
          <w:sz w:val="48"/>
        </w:rPr>
        <w:t xml:space="preserve">Tools &amp; Databases Called: </w:t>
      </w:r>
    </w:p>
    <w:p>
      <w:pPr>
        <w:pStyle w:val="ListBullet"/>
      </w:pPr>
      <w:r>
        <w:rPr>
          <w:rFonts w:ascii="Arial" w:hAnsi="Arial"/>
          <w:sz w:val="48"/>
        </w:rPr>
        <w:t>Quiver EP atlas seizure prediction module</w:t>
      </w:r>
    </w:p>
    <w:p>
      <w:pPr>
        <w:pStyle w:val="ListBullet"/>
      </w:pPr>
      <w:r>
        <w:rPr>
          <w:rFonts w:ascii="Arial" w:hAnsi="Arial"/>
          <w:sz w:val="48"/>
        </w:rPr>
        <w:t>Gene perturbation effect size calculator</w:t>
      </w:r>
    </w:p>
    <w:p>
      <w:pPr>
        <w:pStyle w:val="ListBullet"/>
      </w:pPr>
      <w:r>
        <w:rPr>
          <w:rFonts w:ascii="Arial" w:hAnsi="Arial"/>
          <w:sz w:val="48"/>
        </w:rPr>
        <w:t>Combination effect prediction model (synergy assessment)</w:t>
      </w:r>
    </w:p>
    <w:p>
      <w:pPr>
        <w:pStyle w:val="ListBullet"/>
      </w:pPr>
      <w:r>
        <w:rPr>
          <w:rFonts w:ascii="Arial" w:hAnsi="Arial"/>
          <w:sz w:val="48"/>
        </w:rPr>
        <w:t>Seizure phenotype classifier (feature selection)</w:t>
      </w:r>
    </w:p>
    <w:p>
      <w:pPr>
        <w:pStyle w:val="ListBullet"/>
      </w:pPr>
      <w:r>
        <w:rPr>
          <w:rFonts w:ascii="Arial" w:hAnsi="Arial"/>
          <w:sz w:val="48"/>
        </w:rPr>
        <w:t>Multi-perturbation functional predictor</w:t>
      </w:r>
    </w:p>
    <w:p>
      <w:pPr>
        <w:pStyle w:val="ListBullet"/>
      </w:pPr>
      <w:r>
        <w:rPr>
          <w:rFonts w:ascii="Arial" w:hAnsi="Arial"/>
          <w:sz w:val="48"/>
        </w:rPr>
        <w:t>Dose-response modeling for combinations</w:t>
      </w:r>
    </w:p>
    <w:p>
      <w:pPr>
        <w:pStyle w:val="ListBullet"/>
      </w:pPr>
      <w:r>
        <w:rPr>
          <w:rFonts w:ascii="Arial" w:hAnsi="Arial"/>
          <w:sz w:val="48"/>
        </w:rPr>
        <w:t>Electrophysiology-to-behavior correlation mapper</w:t>
      </w:r>
    </w:p>
    <w:p>
      <w:r>
        <w:rPr>
          <w:rFonts w:ascii="Arial" w:hAnsi="Arial"/>
          <w:b/>
          <w:sz w:val="48"/>
        </w:rPr>
        <w:t xml:space="preserve">Exemplary Sub-Prompts: </w:t>
      </w:r>
    </w:p>
    <w:p>
      <w:pPr>
        <w:pStyle w:val="ListBullet"/>
      </w:pPr>
      <w:r>
        <w:rPr>
          <w:rFonts w:ascii="Arial" w:hAnsi="Arial"/>
          <w:sz w:val="48"/>
        </w:rPr>
        <w:t>Predict seizure suppression for each single-ASO component.</w:t>
      </w:r>
    </w:p>
    <w:p>
      <w:pPr>
        <w:pStyle w:val="ListBullet"/>
      </w:pPr>
      <w:r>
        <w:rPr>
          <w:rFonts w:ascii="Arial" w:hAnsi="Arial"/>
          <w:sz w:val="48"/>
        </w:rPr>
        <w:t>Model combination effects incorporating predicted synergies.</w:t>
      </w:r>
    </w:p>
    <w:p>
      <w:pPr>
        <w:pStyle w:val="ListBullet"/>
      </w:pPr>
      <w:r>
        <w:rPr>
          <w:rFonts w:ascii="Arial" w:hAnsi="Arial"/>
          <w:sz w:val="48"/>
        </w:rPr>
        <w:t>Estimate seizure reduction percentage for each combination.</w:t>
      </w:r>
    </w:p>
    <w:p>
      <w:pPr>
        <w:pStyle w:val="ListBullet"/>
      </w:pPr>
      <w:r>
        <w:rPr>
          <w:rFonts w:ascii="Arial" w:hAnsi="Arial"/>
          <w:sz w:val="48"/>
        </w:rPr>
        <w:t>Identify secondary phenotypic effects (motor, cognitive, developmental).</w:t>
      </w:r>
    </w:p>
    <w:p>
      <w:pPr>
        <w:pStyle w:val="ListBullet"/>
      </w:pPr>
      <w:r>
        <w:rPr>
          <w:rFonts w:ascii="Arial" w:hAnsi="Arial"/>
          <w:sz w:val="48"/>
        </w:rPr>
        <w:t>Rank combinations by predicted seizure suppression efficacy.</w:t>
      </w:r>
    </w:p>
    <w:p>
      <w:r>
        <w:rPr>
          <w:rFonts w:ascii="Arial" w:hAnsi="Arial"/>
          <w:b/>
          <w:sz w:val="48"/>
        </w:rPr>
        <w:t xml:space="preserve">Expected Outputs: </w:t>
      </w:r>
    </w:p>
    <w:p>
      <w:pPr>
        <w:pStyle w:val="ListBullet"/>
      </w:pPr>
      <w:r>
        <w:rPr>
          <w:rFonts w:ascii="Arial" w:hAnsi="Arial"/>
          <w:sz w:val="48"/>
        </w:rPr>
        <w:t>Individual ASO seizure suppression predictions</w:t>
      </w:r>
    </w:p>
    <w:p>
      <w:pPr>
        <w:pStyle w:val="ListBullet"/>
      </w:pPr>
      <w:r>
        <w:rPr>
          <w:rFonts w:ascii="Arial" w:hAnsi="Arial"/>
          <w:sz w:val="48"/>
        </w:rPr>
        <w:t>Predicted combination efficacy (synergistic effect quantification)</w:t>
      </w:r>
    </w:p>
    <w:p>
      <w:pPr>
        <w:pStyle w:val="ListBullet"/>
      </w:pPr>
      <w:r>
        <w:rPr>
          <w:rFonts w:ascii="Arial" w:hAnsi="Arial"/>
          <w:sz w:val="48"/>
        </w:rPr>
        <w:t>Estimated seizure reduction percentages with confidence intervals</w:t>
      </w:r>
    </w:p>
    <w:p>
      <w:pPr>
        <w:pStyle w:val="ListBullet"/>
      </w:pPr>
      <w:r>
        <w:rPr>
          <w:rFonts w:ascii="Arial" w:hAnsi="Arial"/>
          <w:sz w:val="48"/>
        </w:rPr>
        <w:t>Secondary phenotypic effect predictions</w:t>
      </w:r>
    </w:p>
    <w:p>
      <w:pPr>
        <w:pStyle w:val="ListBullet"/>
      </w:pPr>
      <w:r>
        <w:rPr>
          <w:rFonts w:ascii="Arial" w:hAnsi="Arial"/>
          <w:sz w:val="48"/>
        </w:rPr>
        <w:t>Electrophysiological outcome predictions</w:t>
      </w:r>
    </w:p>
    <w:p>
      <w:pPr>
        <w:pStyle w:val="ListBullet"/>
      </w:pPr>
      <w:r>
        <w:rPr>
          <w:rFonts w:ascii="Arial" w:hAnsi="Arial"/>
          <w:sz w:val="48"/>
        </w:rPr>
        <w:t>Optimal knockdown target ranges for each gene</w:t>
      </w:r>
    </w:p>
    <w:p>
      <w:pPr>
        <w:pStyle w:val="ListBullet"/>
      </w:pPr>
      <w:r>
        <w:rPr>
          <w:rFonts w:ascii="Arial" w:hAnsi="Arial"/>
          <w:sz w:val="48"/>
        </w:rPr>
        <w:t>Efficacy ranking of proposed combinations</w:t>
      </w:r>
    </w:p>
    <w:p>
      <w:r>
        <w:rPr>
          <w:rFonts w:ascii="Arial" w:hAnsi="Arial"/>
          <w:b/>
          <w:sz w:val="48"/>
        </w:rPr>
        <w:t xml:space="preserve">Format: </w:t>
      </w:r>
    </w:p>
    <w:p>
      <w:pPr>
        <w:pStyle w:val="ListBullet"/>
      </w:pPr>
      <w:r>
        <w:rPr>
          <w:rFonts w:ascii="Arial" w:hAnsi="Arial"/>
          <w:sz w:val="48"/>
        </w:rPr>
        <w:t>Efficacy heatmaps; dose-response curves per combination; synergy quantification plots; ranked combination summary cards.</w:t>
      </w:r>
    </w:p>
    <w:p>
      <w:pPr>
        <w:pStyle w:val="Heading2"/>
      </w:pPr>
      <w:r>
        <w:rPr>
          <w:rFonts w:ascii="Arial" w:hAnsi="Arial"/>
          <w:b/>
          <w:sz w:val="56"/>
        </w:rPr>
        <w:t>Stage 5: Combination Safety Assessment and Risk-Benefit Analysis</w:t>
      </w:r>
    </w:p>
    <w:p>
      <w:r>
        <w:rPr>
          <w:rFonts w:ascii="Arial" w:hAnsi="Arial"/>
          <w:b/>
          <w:sz w:val="48"/>
        </w:rPr>
        <w:t xml:space="preserve">Purpose: </w:t>
      </w:r>
    </w:p>
    <w:p>
      <w:pPr>
        <w:pStyle w:val="ListBullet"/>
      </w:pPr>
      <w:r>
        <w:rPr>
          <w:rFonts w:ascii="Arial" w:hAnsi="Arial"/>
          <w:sz w:val="48"/>
        </w:rPr>
        <w:t>Comprehensively assess safety risks for proposed combinations, including off-target interactions, immunotoxicity, and organ-specific effects.</w:t>
      </w:r>
    </w:p>
    <w:p>
      <w:r>
        <w:rPr>
          <w:rFonts w:ascii="Arial" w:hAnsi="Arial"/>
          <w:b/>
          <w:sz w:val="48"/>
        </w:rPr>
        <w:t xml:space="preserve">Inputs: </w:t>
      </w:r>
    </w:p>
    <w:p>
      <w:pPr>
        <w:pStyle w:val="ListBullet"/>
      </w:pPr>
      <w:r>
        <w:rPr>
          <w:rFonts w:ascii="Arial" w:hAnsi="Arial"/>
          <w:sz w:val="48"/>
        </w:rPr>
        <w:t>Proposed combinations from Stage 4</w:t>
      </w:r>
    </w:p>
    <w:p>
      <w:pPr>
        <w:pStyle w:val="ListBullet"/>
      </w:pPr>
      <w:r>
        <w:rPr>
          <w:rFonts w:ascii="Arial" w:hAnsi="Arial"/>
          <w:sz w:val="48"/>
        </w:rPr>
        <w:t>Individual off-target assessments per ASO</w:t>
      </w:r>
    </w:p>
    <w:p>
      <w:pPr>
        <w:pStyle w:val="ListBullet"/>
      </w:pPr>
      <w:r>
        <w:rPr>
          <w:rFonts w:ascii="Arial" w:hAnsi="Arial"/>
          <w:sz w:val="48"/>
        </w:rPr>
        <w:t>Combination off-target interaction analysis</w:t>
      </w:r>
    </w:p>
    <w:p>
      <w:pPr>
        <w:pStyle w:val="ListBullet"/>
      </w:pPr>
      <w:r>
        <w:rPr>
          <w:rFonts w:ascii="Arial" w:hAnsi="Arial"/>
          <w:sz w:val="48"/>
        </w:rPr>
        <w:t>Immunotoxicity predictions for multi-ASO combinations</w:t>
      </w:r>
    </w:p>
    <w:p>
      <w:pPr>
        <w:pStyle w:val="ListBullet"/>
      </w:pPr>
      <w:r>
        <w:rPr>
          <w:rFonts w:ascii="Arial" w:hAnsi="Arial"/>
          <w:sz w:val="48"/>
        </w:rPr>
        <w:t>Organ-specific toxicity data</w:t>
      </w:r>
    </w:p>
    <w:p>
      <w:pPr>
        <w:pStyle w:val="ListBullet"/>
      </w:pPr>
      <w:r>
        <w:rPr>
          <w:rFonts w:ascii="Arial" w:hAnsi="Arial"/>
          <w:sz w:val="48"/>
        </w:rPr>
        <w:t>ASO safety interaction literature</w:t>
      </w:r>
    </w:p>
    <w:p>
      <w:r>
        <w:rPr>
          <w:rFonts w:ascii="Arial" w:hAnsi="Arial"/>
          <w:b/>
          <w:sz w:val="48"/>
        </w:rPr>
        <w:t xml:space="preserve">Tools &amp; Databases Called: </w:t>
      </w:r>
    </w:p>
    <w:p>
      <w:pPr>
        <w:pStyle w:val="ListBullet"/>
      </w:pPr>
      <w:r>
        <w:rPr>
          <w:rFonts w:ascii="Arial" w:hAnsi="Arial"/>
          <w:sz w:val="48"/>
        </w:rPr>
        <w:t>Combination off-target interaction analyzer</w:t>
      </w:r>
    </w:p>
    <w:p>
      <w:pPr>
        <w:pStyle w:val="ListBullet"/>
      </w:pPr>
      <w:r>
        <w:rPr>
          <w:rFonts w:ascii="Arial" w:hAnsi="Arial"/>
          <w:sz w:val="48"/>
        </w:rPr>
        <w:t>Multi-ASO immunotoxicity predictor</w:t>
      </w:r>
    </w:p>
    <w:p>
      <w:pPr>
        <w:pStyle w:val="ListBullet"/>
      </w:pPr>
      <w:r>
        <w:rPr>
          <w:rFonts w:ascii="Arial" w:hAnsi="Arial"/>
          <w:sz w:val="48"/>
        </w:rPr>
        <w:t>Organ accumulation modeling (combination effects)</w:t>
      </w:r>
    </w:p>
    <w:p>
      <w:pPr>
        <w:pStyle w:val="ListBullet"/>
      </w:pPr>
      <w:r>
        <w:rPr>
          <w:rFonts w:ascii="Arial" w:hAnsi="Arial"/>
          <w:sz w:val="48"/>
        </w:rPr>
        <w:t>PK interaction predictor</w:t>
      </w:r>
    </w:p>
    <w:p>
      <w:pPr>
        <w:pStyle w:val="ListBullet"/>
      </w:pPr>
      <w:r>
        <w:rPr>
          <w:rFonts w:ascii="Arial" w:hAnsi="Arial"/>
          <w:sz w:val="48"/>
        </w:rPr>
        <w:t>Safety biomarker predictor (combination-specific)</w:t>
      </w:r>
    </w:p>
    <w:p>
      <w:pPr>
        <w:pStyle w:val="ListBullet"/>
      </w:pPr>
      <w:r>
        <w:rPr>
          <w:rFonts w:ascii="Arial" w:hAnsi="Arial"/>
          <w:sz w:val="48"/>
        </w:rPr>
        <w:t>Risk-benefit scoring module</w:t>
      </w:r>
    </w:p>
    <w:p>
      <w:pPr>
        <w:pStyle w:val="ListBullet"/>
      </w:pPr>
      <w:r>
        <w:rPr>
          <w:rFonts w:ascii="Arial" w:hAnsi="Arial"/>
          <w:sz w:val="48"/>
        </w:rPr>
        <w:t>Toxicity interaction database</w:t>
      </w:r>
    </w:p>
    <w:p>
      <w:r>
        <w:rPr>
          <w:rFonts w:ascii="Arial" w:hAnsi="Arial"/>
          <w:b/>
          <w:sz w:val="48"/>
        </w:rPr>
        <w:t xml:space="preserve">Exemplary Sub-Prompts: </w:t>
      </w:r>
    </w:p>
    <w:p>
      <w:pPr>
        <w:pStyle w:val="ListBullet"/>
      </w:pPr>
      <w:r>
        <w:rPr>
          <w:rFonts w:ascii="Arial" w:hAnsi="Arial"/>
          <w:sz w:val="48"/>
        </w:rPr>
        <w:t>Assess off-target interactions between ASOs in each combination.</w:t>
      </w:r>
    </w:p>
    <w:p>
      <w:pPr>
        <w:pStyle w:val="ListBullet"/>
      </w:pPr>
      <w:r>
        <w:rPr>
          <w:rFonts w:ascii="Arial" w:hAnsi="Arial"/>
          <w:sz w:val="48"/>
        </w:rPr>
        <w:t>Predict immunotoxicity for dual and triple ASO combinations.</w:t>
      </w:r>
    </w:p>
    <w:p>
      <w:pPr>
        <w:pStyle w:val="ListBullet"/>
      </w:pPr>
      <w:r>
        <w:rPr>
          <w:rFonts w:ascii="Arial" w:hAnsi="Arial"/>
          <w:sz w:val="48"/>
        </w:rPr>
        <w:t>Model organ accumulation and toxicity for combination strategies.</w:t>
      </w:r>
    </w:p>
    <w:p>
      <w:pPr>
        <w:pStyle w:val="ListBullet"/>
      </w:pPr>
      <w:r>
        <w:rPr>
          <w:rFonts w:ascii="Arial" w:hAnsi="Arial"/>
          <w:sz w:val="48"/>
        </w:rPr>
        <w:t>Identify potential drug-drug interactions (PK or pharmacodynamic).</w:t>
      </w:r>
    </w:p>
    <w:p>
      <w:pPr>
        <w:pStyle w:val="ListBullet"/>
      </w:pPr>
      <w:r>
        <w:rPr>
          <w:rFonts w:ascii="Arial" w:hAnsi="Arial"/>
          <w:sz w:val="48"/>
        </w:rPr>
        <w:t>Calculate overall safety risk profile per combination.</w:t>
      </w:r>
    </w:p>
    <w:p>
      <w:r>
        <w:rPr>
          <w:rFonts w:ascii="Arial" w:hAnsi="Arial"/>
          <w:b/>
          <w:sz w:val="48"/>
        </w:rPr>
        <w:t xml:space="preserve">Expected Outputs: </w:t>
      </w:r>
    </w:p>
    <w:p>
      <w:pPr>
        <w:pStyle w:val="ListBullet"/>
      </w:pPr>
      <w:r>
        <w:rPr>
          <w:rFonts w:ascii="Arial" w:hAnsi="Arial"/>
          <w:sz w:val="48"/>
        </w:rPr>
        <w:t>Off-target interaction assessment (per combination)</w:t>
      </w:r>
    </w:p>
    <w:p>
      <w:pPr>
        <w:pStyle w:val="ListBullet"/>
      </w:pPr>
      <w:r>
        <w:rPr>
          <w:rFonts w:ascii="Arial" w:hAnsi="Arial"/>
          <w:sz w:val="48"/>
        </w:rPr>
        <w:t>Immunotoxicity risk predictions for combinations</w:t>
      </w:r>
    </w:p>
    <w:p>
      <w:pPr>
        <w:pStyle w:val="ListBullet"/>
      </w:pPr>
      <w:r>
        <w:rPr>
          <w:rFonts w:ascii="Arial" w:hAnsi="Arial"/>
          <w:sz w:val="48"/>
        </w:rPr>
        <w:t>Organ-specific toxicity profiles (combination-adjusted)</w:t>
      </w:r>
    </w:p>
    <w:p>
      <w:pPr>
        <w:pStyle w:val="ListBullet"/>
      </w:pPr>
      <w:r>
        <w:rPr>
          <w:rFonts w:ascii="Arial" w:hAnsi="Arial"/>
          <w:sz w:val="48"/>
        </w:rPr>
        <w:t>Pharmacokinetic interaction models</w:t>
      </w:r>
    </w:p>
    <w:p>
      <w:pPr>
        <w:pStyle w:val="ListBullet"/>
      </w:pPr>
      <w:r>
        <w:rPr>
          <w:rFonts w:ascii="Arial" w:hAnsi="Arial"/>
          <w:sz w:val="48"/>
        </w:rPr>
        <w:t>Safety biomarker predictions</w:t>
      </w:r>
    </w:p>
    <w:p>
      <w:pPr>
        <w:pStyle w:val="ListBullet"/>
      </w:pPr>
      <w:r>
        <w:rPr>
          <w:rFonts w:ascii="Arial" w:hAnsi="Arial"/>
          <w:sz w:val="48"/>
        </w:rPr>
        <w:t>Risk stratification (Low, Medium, High risk combinations)</w:t>
      </w:r>
    </w:p>
    <w:p>
      <w:pPr>
        <w:pStyle w:val="ListBullet"/>
      </w:pPr>
      <w:r>
        <w:rPr>
          <w:rFonts w:ascii="Arial" w:hAnsi="Arial"/>
          <w:sz w:val="48"/>
        </w:rPr>
        <w:t>Go/No-Go recommendations per combination</w:t>
      </w:r>
    </w:p>
    <w:p>
      <w:r>
        <w:rPr>
          <w:rFonts w:ascii="Arial" w:hAnsi="Arial"/>
          <w:b/>
          <w:sz w:val="48"/>
        </w:rPr>
        <w:t xml:space="preserve">Format: </w:t>
      </w:r>
    </w:p>
    <w:p>
      <w:pPr>
        <w:pStyle w:val="ListBullet"/>
      </w:pPr>
      <w:r>
        <w:rPr>
          <w:rFonts w:ascii="Arial" w:hAnsi="Arial"/>
          <w:sz w:val="48"/>
        </w:rPr>
        <w:t>Combination safety scorecard; interaction heatmaps; risk stratification matrix; safety-efficacy comparison plots.</w:t>
      </w:r>
    </w:p>
    <w:p>
      <w:pPr>
        <w:pStyle w:val="Heading2"/>
      </w:pPr>
      <w:r>
        <w:rPr>
          <w:rFonts w:ascii="Arial" w:hAnsi="Arial"/>
          <w:b/>
          <w:sz w:val="56"/>
        </w:rPr>
        <w:t>Stage 6: Combination Strategy Recommendations and Clinical Development Roadmap</w:t>
      </w:r>
    </w:p>
    <w:p>
      <w:r>
        <w:rPr>
          <w:rFonts w:ascii="Arial" w:hAnsi="Arial"/>
          <w:b/>
          <w:sz w:val="48"/>
        </w:rPr>
        <w:t xml:space="preserve">Purpose: </w:t>
      </w:r>
    </w:p>
    <w:p>
      <w:pPr>
        <w:pStyle w:val="ListBullet"/>
      </w:pPr>
      <w:r>
        <w:rPr>
          <w:rFonts w:ascii="Arial" w:hAnsi="Arial"/>
          <w:sz w:val="48"/>
        </w:rPr>
        <w:t>Compile comprehensive recommendations for lead combination ASO strategies with preclinical testing plans, regulatory guidance, and projected clinical development pathways.</w:t>
      </w:r>
    </w:p>
    <w:p>
      <w:r>
        <w:rPr>
          <w:rFonts w:ascii="Arial" w:hAnsi="Arial"/>
          <w:b/>
          <w:sz w:val="48"/>
        </w:rPr>
        <w:t xml:space="preserve">Inputs: </w:t>
      </w:r>
    </w:p>
    <w:p>
      <w:pPr>
        <w:pStyle w:val="ListBullet"/>
      </w:pPr>
      <w:r>
        <w:rPr>
          <w:rFonts w:ascii="Arial" w:hAnsi="Arial"/>
          <w:sz w:val="48"/>
        </w:rPr>
        <w:t>Top combination candidates from Stage 5</w:t>
      </w:r>
    </w:p>
    <w:p>
      <w:pPr>
        <w:pStyle w:val="ListBullet"/>
      </w:pPr>
      <w:r>
        <w:rPr>
          <w:rFonts w:ascii="Arial" w:hAnsi="Arial"/>
          <w:sz w:val="48"/>
        </w:rPr>
        <w:t>All efficacy and safety data from Stages 1–5</w:t>
      </w:r>
    </w:p>
    <w:p>
      <w:pPr>
        <w:pStyle w:val="ListBullet"/>
      </w:pPr>
      <w:r>
        <w:rPr>
          <w:rFonts w:ascii="Arial" w:hAnsi="Arial"/>
          <w:sz w:val="48"/>
        </w:rPr>
        <w:t>Preclinical epilepsy model literature</w:t>
      </w:r>
    </w:p>
    <w:p>
      <w:pPr>
        <w:pStyle w:val="ListBullet"/>
      </w:pPr>
      <w:r>
        <w:rPr>
          <w:rFonts w:ascii="Arial" w:hAnsi="Arial"/>
          <w:sz w:val="48"/>
        </w:rPr>
        <w:t>Combination therapy clinical development guidance</w:t>
      </w:r>
    </w:p>
    <w:p>
      <w:pPr>
        <w:pStyle w:val="ListBullet"/>
      </w:pPr>
      <w:r>
        <w:rPr>
          <w:rFonts w:ascii="Arial" w:hAnsi="Arial"/>
          <w:sz w:val="48"/>
        </w:rPr>
        <w:t>Regulatory pathways for combination ASO drugs</w:t>
      </w:r>
    </w:p>
    <w:p>
      <w:r>
        <w:rPr>
          <w:rFonts w:ascii="Arial" w:hAnsi="Arial"/>
          <w:b/>
          <w:sz w:val="48"/>
        </w:rPr>
        <w:t xml:space="preserve">Tools &amp; Databases Called: </w:t>
      </w:r>
    </w:p>
    <w:p>
      <w:pPr>
        <w:pStyle w:val="ListBullet"/>
      </w:pPr>
      <w:r>
        <w:rPr>
          <w:rFonts w:ascii="Arial" w:hAnsi="Arial"/>
          <w:sz w:val="48"/>
        </w:rPr>
        <w:t>Preclinical epilepsy study protocol templates</w:t>
      </w:r>
    </w:p>
    <w:p>
      <w:pPr>
        <w:pStyle w:val="ListBullet"/>
      </w:pPr>
      <w:r>
        <w:rPr>
          <w:rFonts w:ascii="Arial" w:hAnsi="Arial"/>
          <w:sz w:val="48"/>
        </w:rPr>
        <w:t>Regulatory pathway classifier (combination designation)</w:t>
      </w:r>
    </w:p>
    <w:p>
      <w:pPr>
        <w:pStyle w:val="ListBullet"/>
      </w:pPr>
      <w:r>
        <w:rPr>
          <w:rFonts w:ascii="Arial" w:hAnsi="Arial"/>
          <w:sz w:val="48"/>
        </w:rPr>
        <w:t>CMC guidance for multi-ASO combinations</w:t>
      </w:r>
    </w:p>
    <w:p>
      <w:pPr>
        <w:pStyle w:val="ListBullet"/>
      </w:pPr>
      <w:r>
        <w:rPr>
          <w:rFonts w:ascii="Arial" w:hAnsi="Arial"/>
          <w:sz w:val="48"/>
        </w:rPr>
        <w:t>Clinical development strategy planner</w:t>
      </w:r>
    </w:p>
    <w:p>
      <w:pPr>
        <w:pStyle w:val="ListBullet"/>
      </w:pPr>
      <w:r>
        <w:rPr>
          <w:rFonts w:ascii="Arial" w:hAnsi="Arial"/>
          <w:sz w:val="48"/>
        </w:rPr>
        <w:t>Competitive landscape analyzer (combination programs)</w:t>
      </w:r>
    </w:p>
    <w:p>
      <w:pPr>
        <w:pStyle w:val="ListBullet"/>
      </w:pPr>
      <w:r>
        <w:rPr>
          <w:rFonts w:ascii="Arial" w:hAnsi="Arial"/>
          <w:sz w:val="48"/>
        </w:rPr>
        <w:t>Development timeline and budget estimator</w:t>
      </w:r>
    </w:p>
    <w:p>
      <w:pPr>
        <w:pStyle w:val="ListBullet"/>
      </w:pPr>
      <w:r>
        <w:rPr>
          <w:rFonts w:ascii="Arial" w:hAnsi="Arial"/>
          <w:sz w:val="48"/>
        </w:rPr>
        <w:t>Intellectual property landscape mapper</w:t>
      </w:r>
    </w:p>
    <w:p>
      <w:r>
        <w:rPr>
          <w:rFonts w:ascii="Arial" w:hAnsi="Arial"/>
          <w:b/>
          <w:sz w:val="48"/>
        </w:rPr>
        <w:t xml:space="preserve">Exemplary Sub-Prompts: </w:t>
      </w:r>
    </w:p>
    <w:p>
      <w:pPr>
        <w:pStyle w:val="ListBullet"/>
      </w:pPr>
      <w:r>
        <w:rPr>
          <w:rFonts w:ascii="Arial" w:hAnsi="Arial"/>
          <w:sz w:val="48"/>
        </w:rPr>
        <w:t>Select top 2–3 combinations meeting efficacy and safety criteria.</w:t>
      </w:r>
    </w:p>
    <w:p>
      <w:pPr>
        <w:pStyle w:val="ListBullet"/>
      </w:pPr>
      <w:r>
        <w:rPr>
          <w:rFonts w:ascii="Arial" w:hAnsi="Arial"/>
          <w:sz w:val="48"/>
        </w:rPr>
        <w:t>Design preclinical epilepsy models for combination testing.</w:t>
      </w:r>
    </w:p>
    <w:p>
      <w:pPr>
        <w:pStyle w:val="ListBullet"/>
      </w:pPr>
      <w:r>
        <w:rPr>
          <w:rFonts w:ascii="Arial" w:hAnsi="Arial"/>
          <w:sz w:val="48"/>
        </w:rPr>
        <w:t>Outline GLP toxicology strategy (single-dose, repeated-dose interactions).</w:t>
      </w:r>
    </w:p>
    <w:p>
      <w:pPr>
        <w:pStyle w:val="ListBullet"/>
      </w:pPr>
      <w:r>
        <w:rPr>
          <w:rFonts w:ascii="Arial" w:hAnsi="Arial"/>
          <w:sz w:val="48"/>
        </w:rPr>
        <w:t>Propose clinical trial design for combination ASO efficacy.</w:t>
      </w:r>
    </w:p>
    <w:p>
      <w:pPr>
        <w:pStyle w:val="ListBullet"/>
      </w:pPr>
      <w:r>
        <w:rPr>
          <w:rFonts w:ascii="Arial" w:hAnsi="Arial"/>
          <w:sz w:val="48"/>
        </w:rPr>
        <w:t>Identify regulatory pathways and fast-track designation opportunities.</w:t>
      </w:r>
    </w:p>
    <w:p>
      <w:pPr>
        <w:pStyle w:val="ListBullet"/>
      </w:pPr>
      <w:r>
        <w:rPr>
          <w:rFonts w:ascii="Arial" w:hAnsi="Arial"/>
          <w:sz w:val="48"/>
        </w:rPr>
        <w:t>Assess competitive landscape and intellectual property position.</w:t>
      </w:r>
    </w:p>
    <w:p>
      <w:r>
        <w:rPr>
          <w:rFonts w:ascii="Arial" w:hAnsi="Arial"/>
          <w:b/>
          <w:sz w:val="48"/>
        </w:rPr>
        <w:t xml:space="preserve">Expected Outputs: </w:t>
      </w:r>
    </w:p>
    <w:p>
      <w:pPr>
        <w:pStyle w:val="ListBullet"/>
      </w:pPr>
      <w:r>
        <w:rPr>
          <w:rFonts w:ascii="Arial" w:hAnsi="Arial"/>
          <w:sz w:val="48"/>
        </w:rPr>
        <w:t>Lead Combination Strategy Summary (detailed cards for top 2–3 combinations)</w:t>
      </w:r>
    </w:p>
    <w:p>
      <w:pPr>
        <w:pStyle w:val="ListBullet"/>
      </w:pPr>
      <w:r>
        <w:rPr>
          <w:rFonts w:ascii="Arial" w:hAnsi="Arial"/>
          <w:sz w:val="48"/>
        </w:rPr>
        <w:t>Scientific rationale and mechanistic justification</w:t>
      </w:r>
    </w:p>
    <w:p>
      <w:pPr>
        <w:pStyle w:val="ListBullet"/>
      </w:pPr>
      <w:r>
        <w:rPr>
          <w:rFonts w:ascii="Arial" w:hAnsi="Arial"/>
          <w:sz w:val="48"/>
        </w:rPr>
        <w:t>Preclinical efficacy study design (in vivo epilepsy models)</w:t>
      </w:r>
    </w:p>
    <w:p>
      <w:pPr>
        <w:pStyle w:val="ListBullet"/>
      </w:pPr>
      <w:r>
        <w:rPr>
          <w:rFonts w:ascii="Arial" w:hAnsi="Arial"/>
          <w:sz w:val="48"/>
        </w:rPr>
        <w:t>GLP toxicology testing plan (combination-specific protocols)</w:t>
      </w:r>
    </w:p>
    <w:p>
      <w:pPr>
        <w:pStyle w:val="ListBullet"/>
      </w:pPr>
      <w:r>
        <w:rPr>
          <w:rFonts w:ascii="Arial" w:hAnsi="Arial"/>
          <w:sz w:val="48"/>
        </w:rPr>
        <w:t>Clinical development strategy and trial design</w:t>
      </w:r>
    </w:p>
    <w:p>
      <w:pPr>
        <w:pStyle w:val="ListBullet"/>
      </w:pPr>
      <w:r>
        <w:rPr>
          <w:rFonts w:ascii="Arial" w:hAnsi="Arial"/>
          <w:sz w:val="48"/>
        </w:rPr>
        <w:t>Regulatory pathway roadmap and designation opportunities</w:t>
      </w:r>
    </w:p>
    <w:p>
      <w:pPr>
        <w:pStyle w:val="ListBullet"/>
      </w:pPr>
      <w:r>
        <w:rPr>
          <w:rFonts w:ascii="Arial" w:hAnsi="Arial"/>
          <w:sz w:val="48"/>
        </w:rPr>
        <w:t>Competitive analysis and IP landscape assessment</w:t>
      </w:r>
    </w:p>
    <w:p>
      <w:pPr>
        <w:pStyle w:val="ListBullet"/>
      </w:pPr>
      <w:r>
        <w:rPr>
          <w:rFonts w:ascii="Arial" w:hAnsi="Arial"/>
          <w:sz w:val="48"/>
        </w:rPr>
        <w:t>Overall development timeline and estimated costs</w:t>
      </w:r>
    </w:p>
    <w:p>
      <w:pPr>
        <w:pStyle w:val="ListBullet"/>
      </w:pPr>
      <w:r>
        <w:rPr>
          <w:rFonts w:ascii="Arial" w:hAnsi="Arial"/>
          <w:sz w:val="48"/>
        </w:rPr>
        <w:t>Risk mitigation and contingency plans</w:t>
      </w:r>
    </w:p>
    <w:p>
      <w:r>
        <w:rPr>
          <w:rFonts w:ascii="Arial" w:hAnsi="Arial"/>
          <w:b/>
          <w:sz w:val="48"/>
        </w:rPr>
        <w:t xml:space="preserve">Format: </w:t>
      </w:r>
    </w:p>
    <w:p>
      <w:pPr>
        <w:pStyle w:val="ListBullet"/>
      </w:pPr>
      <w:r>
        <w:rPr>
          <w:rFonts w:ascii="Arial" w:hAnsi="Arial"/>
          <w:sz w:val="48"/>
        </w:rPr>
        <w:t>Comprehensive strategy report with executive summary, detailed combination cards, preclinical protocols, regulatory guidance, and development timelines.</w:t>
      </w:r>
    </w:p>
    <w:p>
      <w:pPr>
        <w:pStyle w:val="Heading2"/>
      </w:pPr>
      <w:r>
        <w:rPr>
          <w:rFonts w:ascii="Arial" w:hAnsi="Arial"/>
          <w:b/>
          <w:sz w:val="56"/>
        </w:rPr>
        <w:t>Tools &amp; Databases Summary</w:t>
      </w:r>
    </w:p>
    <w:p>
      <w:pPr>
        <w:pStyle w:val="ListBullet"/>
      </w:pPr>
      <w:r>
        <w:rPr>
          <w:rFonts w:ascii="Arial" w:hAnsi="Arial"/>
          <w:sz w:val="48"/>
        </w:rPr>
        <w:t>GWAS Catalog – Genome-wide association study database</w:t>
      </w:r>
    </w:p>
    <w:p>
      <w:pPr>
        <w:pStyle w:val="ListBullet"/>
      </w:pPr>
      <w:r>
        <w:rPr>
          <w:rFonts w:ascii="Arial" w:hAnsi="Arial"/>
          <w:sz w:val="48"/>
        </w:rPr>
        <w:t>dbGaP – Genotypes and Phenotypes database</w:t>
      </w:r>
    </w:p>
    <w:p>
      <w:pPr>
        <w:pStyle w:val="ListBullet"/>
      </w:pPr>
      <w:r>
        <w:rPr>
          <w:rFonts w:ascii="Arial" w:hAnsi="Arial"/>
          <w:sz w:val="48"/>
        </w:rPr>
        <w:t>Epilepsy Gene Database – Curated epilepsy-associated genes</w:t>
      </w:r>
    </w:p>
    <w:p>
      <w:pPr>
        <w:pStyle w:val="ListBullet"/>
      </w:pPr>
      <w:r>
        <w:rPr>
          <w:rFonts w:ascii="Arial" w:hAnsi="Arial"/>
          <w:sz w:val="48"/>
        </w:rPr>
        <w:t>DisGeNET – Gene-disease association mining</w:t>
      </w:r>
    </w:p>
    <w:p>
      <w:pPr>
        <w:pStyle w:val="ListBullet"/>
      </w:pPr>
      <w:r>
        <w:rPr>
          <w:rFonts w:ascii="Arial" w:hAnsi="Arial"/>
          <w:sz w:val="48"/>
        </w:rPr>
        <w:t>Quiver EP CRISPR Atlas – 18,000 perturbations, seizure phenotypes, 500+ features</w:t>
      </w:r>
    </w:p>
    <w:p>
      <w:pPr>
        <w:pStyle w:val="ListBullet"/>
      </w:pPr>
      <w:r>
        <w:rPr>
          <w:rFonts w:ascii="Arial" w:hAnsi="Arial"/>
          <w:sz w:val="48"/>
        </w:rPr>
        <w:t>KEGG Pathway Database – Metabolic and signaling pathways</w:t>
      </w:r>
    </w:p>
    <w:p>
      <w:pPr>
        <w:pStyle w:val="ListBullet"/>
      </w:pPr>
      <w:r>
        <w:rPr>
          <w:rFonts w:ascii="Arial" w:hAnsi="Arial"/>
          <w:sz w:val="48"/>
        </w:rPr>
        <w:t>Reactome – Pathway and molecular interaction database</w:t>
      </w:r>
    </w:p>
    <w:p>
      <w:pPr>
        <w:pStyle w:val="ListBullet"/>
      </w:pPr>
      <w:r>
        <w:rPr>
          <w:rFonts w:ascii="Arial" w:hAnsi="Arial"/>
          <w:sz w:val="48"/>
        </w:rPr>
        <w:t>UniProt – Protein information and druggability assessment</w:t>
      </w:r>
    </w:p>
    <w:p>
      <w:pPr>
        <w:pStyle w:val="ListBullet"/>
      </w:pPr>
      <w:r>
        <w:rPr>
          <w:rFonts w:ascii="Arial" w:hAnsi="Arial"/>
          <w:sz w:val="48"/>
        </w:rPr>
        <w:t>Gene Ontology Database – Functional gene annotations</w:t>
      </w:r>
    </w:p>
    <w:p>
      <w:pPr>
        <w:pStyle w:val="ListBullet"/>
      </w:pPr>
      <w:r>
        <w:rPr>
          <w:rFonts w:ascii="Arial" w:hAnsi="Arial"/>
          <w:sz w:val="48"/>
        </w:rPr>
        <w:t>STRING Database – Protein-protein interaction network</w:t>
      </w:r>
    </w:p>
    <w:p>
      <w:pPr>
        <w:pStyle w:val="ListBullet"/>
      </w:pPr>
      <w:r>
        <w:rPr>
          <w:rFonts w:ascii="Arial" w:hAnsi="Arial"/>
          <w:sz w:val="48"/>
        </w:rPr>
        <w:t>BioGRID – Genetic and protein interaction database</w:t>
      </w:r>
    </w:p>
    <w:p>
      <w:pPr>
        <w:pStyle w:val="ListBullet"/>
      </w:pPr>
      <w:r>
        <w:rPr>
          <w:rFonts w:ascii="Arial" w:hAnsi="Arial"/>
          <w:sz w:val="48"/>
        </w:rPr>
        <w:t>PathwayCommons – Molecular interaction collection</w:t>
      </w:r>
    </w:p>
    <w:p>
      <w:pPr>
        <w:pStyle w:val="ListBullet"/>
      </w:pPr>
      <w:r>
        <w:rPr>
          <w:rFonts w:ascii="Arial" w:hAnsi="Arial"/>
          <w:sz w:val="48"/>
        </w:rPr>
        <w:t>Gene Co-expression Database – Network relationships</w:t>
      </w:r>
    </w:p>
    <w:p>
      <w:pPr>
        <w:pStyle w:val="ListBullet"/>
      </w:pPr>
      <w:r>
        <w:rPr>
          <w:rFonts w:ascii="Arial" w:hAnsi="Arial"/>
          <w:sz w:val="48"/>
        </w:rPr>
        <w:t>Cytoscape/igraph – Network visualization and analysis</w:t>
      </w:r>
    </w:p>
    <w:p>
      <w:pPr>
        <w:pStyle w:val="ListBullet"/>
      </w:pPr>
      <w:r>
        <w:rPr>
          <w:rFonts w:ascii="Arial" w:hAnsi="Arial"/>
          <w:sz w:val="48"/>
        </w:rPr>
        <w:t>ASO Design and Optimization Module – Sequence design for combinations</w:t>
      </w:r>
    </w:p>
    <w:p>
      <w:pPr>
        <w:pStyle w:val="ListBullet"/>
      </w:pPr>
      <w:r>
        <w:rPr>
          <w:rFonts w:ascii="Arial" w:hAnsi="Arial"/>
          <w:sz w:val="48"/>
        </w:rPr>
        <w:t>Off-Target Prediction Tool – Per-ASO and cross-ASO analysis</w:t>
      </w:r>
    </w:p>
    <w:p>
      <w:pPr>
        <w:pStyle w:val="ListBullet"/>
      </w:pPr>
      <w:r>
        <w:rPr>
          <w:rFonts w:ascii="Arial" w:hAnsi="Arial"/>
          <w:sz w:val="48"/>
        </w:rPr>
        <w:t>Multi-Criteria Decision Analysis Platform – Combination ranking</w:t>
      </w:r>
    </w:p>
    <w:p>
      <w:pPr>
        <w:pStyle w:val="ListBullet"/>
      </w:pPr>
      <w:r>
        <w:rPr>
          <w:rFonts w:ascii="Arial" w:hAnsi="Arial"/>
          <w:sz w:val="48"/>
        </w:rPr>
        <w:t>Risk-Benefit Assessment Engine – Safety-efficacy trade-off evaluation</w:t>
      </w:r>
    </w:p>
    <w:sectPr w:rsidR="00FC693F" w:rsidRPr="0006063C" w:rsidSect="00034616">
      <w:pgSz w:w="12240" w:h="15840"/>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