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pPr>
      <w:r>
        <w:rPr>
          <w:b/>
          <w:bCs/>
          <w:sz w:val="32"/>
          <w:szCs w:val="32"/>
        </w:rPr>
        <w:t xml:space="preserve">Sapphire Pipeline Workflow</w:t>
      </w:r>
    </w:p>
    <w:p>
      <w:pPr>
        <w:pStyle w:val="Heading2"/>
        <w:spacing w:before="200" w:after="200"/>
      </w:pPr>
      <w:r>
        <w:rPr>
          <w:b/>
          <w:bCs/>
          <w:sz w:val="28"/>
          <w:szCs w:val="28"/>
        </w:rPr>
        <w:t xml:space="preserve">Prompt: "Propose combination ASO strategies for polygenic epilepsy clusters."</w:t>
      </w:r>
    </w:p>
    <w:p>
      <w:pPr>
        <w:spacing w:after="3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before="200" w:after="200"/>
      </w:pPr>
      <w:r>
        <w:rPr>
          <w:b/>
          <w:bCs/>
          <w:sz w:val="28"/>
          <w:szCs w:val="28"/>
        </w:rPr>
        <w:t xml:space="preserve">Pipeline Overview</w:t>
      </w:r>
    </w:p>
    <w:p>
      <w:pPr>
        <w:spacing w:after="300" w:line="360"/>
      </w:pPr>
      <w:r>
        <w:t xml:space="preserve">This pipeline addresses combination antisense oligonucleotide (ASO) strategies for polygenic epilepsy—conditions driven by multiple risk genes rather than single monogenic mutations. The workflow identifies synergistic gene targets, validates combinatorial effects, designs compatible ASOs, assesses cumulative safety, and ranks strategies by efficacy-to-risk ratio.</w:t>
      </w:r>
    </w:p>
    <w:p>
      <w:pPr>
        <w:spacing w:after="300" w:line="360"/>
      </w:pPr>
      <w:r>
        <w:t xml:space="preserve">The key challenge is identifying gene combinations that produce synergistic seizure control rather than merely additive effects, while managing cumulative safety risk from simultaneous ASO delivery. The pipeline integrates GWAS data, functional genomics (Quiver CRISPR), pathway analysis, computational synergy modeling, and published combination precedents to recommend optimal regimens.</w:t>
      </w:r>
    </w:p>
    <w:p>
      <w:pPr>
        <w:pStyle w:val="Heading2"/>
        <w:spacing w:before="200" w:after="200"/>
      </w:pPr>
      <w:r>
        <w:rPr>
          <w:b/>
          <w:bCs/>
          <w:sz w:val="28"/>
          <w:szCs w:val="28"/>
        </w:rPr>
        <w:t xml:space="preserve">Stage 1: Polygenic Epilepsy Gene Cluster Identification</w:t>
      </w:r>
    </w:p>
    <w:p>
      <w:pPr>
        <w:spacing w:after="200" w:line="360"/>
      </w:pPr>
      <w:r>
        <w:rPr>
          <w:b/>
          <w:bCs/>
        </w:rPr>
        <w:t xml:space="preserve">Purpose: </w:t>
      </w:r>
      <w:r>
        <w:t xml:space="preserve">Identify gene clusters associated with polygenic epilepsy using GWAS, pathway analysis, and functional genomics data. Group genes by functional convergence (sodium channel cluster, GABA receptor cluster, synaptic vesicle cluster, mTOR pathway cluster, etc.) to enable rational combination strategies.</w:t>
      </w:r>
    </w:p>
    <w:p>
      <w:pPr>
        <w:spacing w:after="100"/>
      </w:pPr>
      <w:r>
        <w:rPr>
          <w:b/>
          <w:bCs/>
        </w:rPr>
        <w:t xml:space="preserve">Inputs:</w:t>
      </w:r>
    </w:p>
    <w:p>
      <w:pPr>
        <w:pStyle w:val="ListParagraph"/>
        <w:numPr>
          <w:ilvl w:val="0"/>
          <w:numId w:val="2"/>
        </w:numPr>
        <w:spacing w:after="100"/>
      </w:pPr>
      <w:r>
        <w:t xml:space="preserve">GWAS Catalog epilepsy loci and summary statistics</w:t>
      </w:r>
    </w:p>
    <w:p>
      <w:pPr>
        <w:pStyle w:val="ListParagraph"/>
        <w:numPr>
          <w:ilvl w:val="0"/>
          <w:numId w:val="2"/>
        </w:numPr>
        <w:spacing w:after="100"/>
      </w:pPr>
      <w:r>
        <w:t xml:space="preserve">ILAE genetic epilepsy gene panel (curated monogenic genes)</w:t>
      </w:r>
    </w:p>
    <w:p>
      <w:pPr>
        <w:pStyle w:val="ListParagraph"/>
        <w:numPr>
          <w:ilvl w:val="0"/>
          <w:numId w:val="2"/>
        </w:numPr>
        <w:spacing w:after="100"/>
      </w:pPr>
      <w:r>
        <w:t xml:space="preserve">Quiver CRISPR EP Atlas (epilepsy-phenotype associations)</w:t>
      </w:r>
    </w:p>
    <w:p>
      <w:pPr>
        <w:pStyle w:val="ListParagraph"/>
        <w:numPr>
          <w:ilvl w:val="0"/>
          <w:numId w:val="2"/>
        </w:numPr>
        <w:spacing w:after="100"/>
      </w:pPr>
      <w:r>
        <w:t xml:space="preserve">Clinical epilepsy case reports and genomic databases</w:t>
      </w:r>
    </w:p>
    <w:p>
      <w:pPr>
        <w:spacing w:after="100"/>
      </w:pPr>
      <w:r>
        <w:rPr>
          <w:b/>
          <w:bCs/>
        </w:rPr>
        <w:t xml:space="preserve">Tools &amp; Databases Called:</w:t>
      </w:r>
    </w:p>
    <w:p>
      <w:pPr>
        <w:pStyle w:val="ListParagraph"/>
        <w:numPr>
          <w:ilvl w:val="0"/>
          <w:numId w:val="2"/>
        </w:numPr>
        <w:spacing w:after="100"/>
      </w:pPr>
      <w:r>
        <w:rPr>
          <w:b/>
          <w:bCs/>
        </w:rPr>
        <w:t xml:space="preserve">GWAS Catalog: </w:t>
      </w:r>
      <w:r>
        <w:t xml:space="preserve">Query epilepsy-associated loci and effect sizes across GWAS studies</w:t>
      </w:r>
    </w:p>
    <w:p>
      <w:pPr>
        <w:pStyle w:val="ListParagraph"/>
        <w:numPr>
          <w:ilvl w:val="0"/>
          <w:numId w:val="2"/>
        </w:numPr>
        <w:spacing w:after="100"/>
      </w:pPr>
      <w:r>
        <w:rPr>
          <w:b/>
          <w:bCs/>
        </w:rPr>
        <w:t xml:space="preserve">ILAE Genetics Commission Gene Panel: </w:t>
      </w:r>
      <w:r>
        <w:t xml:space="preserve">Retrieve curated list of genes implicated in genetic epilepsies</w:t>
      </w:r>
    </w:p>
    <w:p>
      <w:pPr>
        <w:pStyle w:val="ListParagraph"/>
        <w:numPr>
          <w:ilvl w:val="0"/>
          <w:numId w:val="2"/>
        </w:numPr>
        <w:spacing w:after="100"/>
      </w:pPr>
      <w:r>
        <w:rPr>
          <w:b/>
          <w:bCs/>
        </w:rPr>
        <w:t xml:space="preserve">Quiver CRISPR EP Atlas: </w:t>
      </w:r>
      <w:r>
        <w:t xml:space="preserve">Map CRISPR perturbation phenotypes to epilepsy signatures</w:t>
      </w:r>
    </w:p>
    <w:p>
      <w:pPr>
        <w:pStyle w:val="ListParagraph"/>
        <w:numPr>
          <w:ilvl w:val="0"/>
          <w:numId w:val="2"/>
        </w:numPr>
        <w:spacing w:after="100"/>
      </w:pPr>
      <w:r>
        <w:rPr>
          <w:b/>
          <w:bCs/>
        </w:rPr>
        <w:t xml:space="preserve">KEGG &amp; Reactome: </w:t>
      </w:r>
      <w:r>
        <w:t xml:space="preserve">Identify pathway membership and functional annotation</w:t>
      </w:r>
    </w:p>
    <w:p>
      <w:pPr>
        <w:pStyle w:val="ListParagraph"/>
        <w:numPr>
          <w:ilvl w:val="0"/>
          <w:numId w:val="2"/>
        </w:numPr>
        <w:spacing w:after="100"/>
      </w:pPr>
      <w:r>
        <w:rPr>
          <w:b/>
          <w:bCs/>
        </w:rPr>
        <w:t xml:space="preserve">STRING &amp; Gene Ontology: </w:t>
      </w:r>
      <w:r>
        <w:t xml:space="preserve">Construct protein-protein interaction networks and functional clustering</w:t>
      </w:r>
    </w:p>
    <w:p>
      <w:pPr>
        <w:spacing w:after="100"/>
      </w:pPr>
      <w:r>
        <w:rPr>
          <w:b/>
          <w:bCs/>
        </w:rPr>
        <w:t xml:space="preserve">Exemplary Sub-Prompts:</w:t>
      </w:r>
    </w:p>
    <w:p>
      <w:pPr>
        <w:pStyle w:val="ListParagraph"/>
        <w:numPr>
          <w:ilvl w:val="0"/>
          <w:numId w:val="2"/>
        </w:numPr>
        <w:spacing w:after="100"/>
      </w:pPr>
      <w:r>
        <w:t xml:space="preserve">Identify all GWAS-significant loci for generalized tonic-clonic epilepsy and focal temporal lobe epilepsy, filtering for common variants (MAF &gt; 1%) across diverse populations.</w:t>
      </w:r>
    </w:p>
    <w:p>
      <w:pPr>
        <w:pStyle w:val="ListParagraph"/>
        <w:numPr>
          <w:ilvl w:val="0"/>
          <w:numId w:val="2"/>
        </w:numPr>
        <w:spacing w:after="100"/>
      </w:pPr>
      <w:r>
        <w:t xml:space="preserve">Map GWAS loci to protein-coding genes using LD information and fine-mapping. Intersect with ILAE-curated gene panel and Quiver EP phenotypes.</w:t>
      </w:r>
    </w:p>
    <w:p>
      <w:pPr>
        <w:pStyle w:val="ListParagraph"/>
        <w:numPr>
          <w:ilvl w:val="0"/>
          <w:numId w:val="2"/>
        </w:numPr>
        <w:spacing w:after="100"/>
      </w:pPr>
      <w:r>
        <w:t xml:space="preserve">Cluster identified genes by pathway membership (KEGG/Reactome) and biological function (ion channel, receptor, signaling, synaptic, mitochondrial, etc.).</w:t>
      </w:r>
    </w:p>
    <w:p>
      <w:pPr>
        <w:spacing w:after="100"/>
      </w:pPr>
      <w:r>
        <w:rPr>
          <w:b/>
          <w:bCs/>
        </w:rPr>
        <w:t xml:space="preserve">Expected Outputs:</w:t>
      </w:r>
    </w:p>
    <w:p>
      <w:pPr>
        <w:pStyle w:val="ListParagraph"/>
        <w:numPr>
          <w:ilvl w:val="0"/>
          <w:numId w:val="2"/>
        </w:numPr>
        <w:spacing w:after="100"/>
      </w:pPr>
      <w:r>
        <w:t xml:space="preserve">Ranked list of gene clusters (5–10 clusters) associated with epilepsy</w:t>
      </w:r>
    </w:p>
    <w:p>
      <w:pPr>
        <w:pStyle w:val="ListParagraph"/>
        <w:numPr>
          <w:ilvl w:val="0"/>
          <w:numId w:val="2"/>
        </w:numPr>
        <w:spacing w:after="100"/>
      </w:pPr>
      <w:r>
        <w:t xml:space="preserve">Functional annotation and pathway assignments per cluster</w:t>
      </w:r>
    </w:p>
    <w:p>
      <w:pPr>
        <w:pStyle w:val="ListParagraph"/>
        <w:numPr>
          <w:ilvl w:val="0"/>
          <w:numId w:val="2"/>
        </w:numPr>
        <w:spacing w:after="100"/>
      </w:pPr>
      <w:r>
        <w:t xml:space="preserve">GWAS effect sizes and allele frequencies for prioritized genes</w:t>
      </w:r>
    </w:p>
    <w:p>
      <w:pPr>
        <w:pStyle w:val="ListParagraph"/>
        <w:numPr>
          <w:ilvl w:val="0"/>
          <w:numId w:val="2"/>
        </w:numPr>
        <w:spacing w:after="100"/>
      </w:pPr>
      <w:r>
        <w:t xml:space="preserve">Network visualization (STRING/Cytoscape) showing cluster architecture</w:t>
      </w:r>
    </w:p>
    <w:p>
      <w:pPr>
        <w:spacing w:after="200" w:line="360"/>
      </w:pPr>
      <w:r>
        <w:rPr>
          <w:b/>
          <w:bCs/>
        </w:rPr>
        <w:t xml:space="preserve">Format: </w:t>
      </w:r>
      <w:r>
        <w:t xml:space="preserve">Spreadsheet (gene ID, cluster name, pathway, GWAS p-value, effect size) plus network diagram.</w:t>
      </w:r>
    </w:p>
    <w:p>
      <w:pPr>
        <w:pStyle w:val="Heading2"/>
        <w:spacing w:before="200" w:after="200"/>
      </w:pPr>
      <w:r>
        <w:rPr>
          <w:b/>
          <w:bCs/>
          <w:sz w:val="28"/>
          <w:szCs w:val="28"/>
        </w:rPr>
        <w:t xml:space="preserve">Stage 2: Single-Gene EP Phenotype Profiling</w:t>
      </w:r>
    </w:p>
    <w:p>
      <w:pPr>
        <w:spacing w:after="200" w:line="360"/>
      </w:pPr>
      <w:r>
        <w:rPr>
          <w:b/>
          <w:bCs/>
        </w:rPr>
        <w:t xml:space="preserve">Purpose: </w:t>
      </w:r>
      <w:r>
        <w:t xml:space="preserve">For each gene in the identified polygenic cluster, retrieve individual CRISPR perturbation epilepsy phenotype from Quiver. Quantify each gene's contribution to the epilepsy signature (e.g., hyperexcitability, seizure propensity, ion channel dysfunction).</w:t>
      </w:r>
    </w:p>
    <w:p>
      <w:pPr>
        <w:spacing w:after="100"/>
      </w:pPr>
      <w:r>
        <w:rPr>
          <w:b/>
          <w:bCs/>
        </w:rPr>
        <w:t xml:space="preserve">Inputs:</w:t>
      </w:r>
    </w:p>
    <w:p>
      <w:pPr>
        <w:pStyle w:val="ListParagraph"/>
        <w:numPr>
          <w:ilvl w:val="0"/>
          <w:numId w:val="2"/>
        </w:numPr>
        <w:spacing w:after="100"/>
      </w:pPr>
      <w:r>
        <w:t xml:space="preserve">Cluster genes from Stage 1</w:t>
      </w:r>
    </w:p>
    <w:p>
      <w:pPr>
        <w:pStyle w:val="ListParagraph"/>
        <w:numPr>
          <w:ilvl w:val="0"/>
          <w:numId w:val="2"/>
        </w:numPr>
        <w:spacing w:after="100"/>
      </w:pPr>
      <w:r>
        <w:t xml:space="preserve">Quiver CRISPR knockout/knockdown phenotype data</w:t>
      </w:r>
    </w:p>
    <w:p>
      <w:pPr>
        <w:pStyle w:val="ListParagraph"/>
        <w:numPr>
          <w:ilvl w:val="0"/>
          <w:numId w:val="2"/>
        </w:numPr>
        <w:spacing w:after="100"/>
      </w:pPr>
      <w:r>
        <w:t xml:space="preserve">Epilepsy-specific phenotype ontology (seizure type, EEG, neuronal excitability)</w:t>
      </w:r>
    </w:p>
    <w:p>
      <w:pPr>
        <w:spacing w:after="100"/>
      </w:pPr>
      <w:r>
        <w:rPr>
          <w:b/>
          <w:bCs/>
        </w:rPr>
        <w:t xml:space="preserve">Tools &amp; Databases Called:</w:t>
      </w:r>
    </w:p>
    <w:p>
      <w:pPr>
        <w:pStyle w:val="ListParagraph"/>
        <w:numPr>
          <w:ilvl w:val="0"/>
          <w:numId w:val="2"/>
        </w:numPr>
        <w:spacing w:after="100"/>
      </w:pPr>
      <w:r>
        <w:rPr>
          <w:b/>
          <w:bCs/>
        </w:rPr>
        <w:t xml:space="preserve">Quiver CRISPR EP Atlas: </w:t>
      </w:r>
      <w:r>
        <w:t xml:space="preserve">Query knockdown phenotypes for each target gene in neuronal models (iPSC-derived neurons, cortical organoids)</w:t>
      </w:r>
    </w:p>
    <w:p>
      <w:pPr>
        <w:pStyle w:val="ListParagraph"/>
        <w:numPr>
          <w:ilvl w:val="0"/>
          <w:numId w:val="2"/>
        </w:numPr>
        <w:spacing w:after="100"/>
      </w:pPr>
      <w:r>
        <w:rPr>
          <w:b/>
          <w:bCs/>
        </w:rPr>
        <w:t xml:space="preserve">Quiver EP Feature Extraction: </w:t>
      </w:r>
      <w:r>
        <w:t xml:space="preserve">Quantify effect sizes: action potential duration, resting membrane potential, burst frequency, excitatory/inhibitory balance</w:t>
      </w:r>
    </w:p>
    <w:p>
      <w:pPr>
        <w:pStyle w:val="ListParagraph"/>
        <w:numPr>
          <w:ilvl w:val="0"/>
          <w:numId w:val="2"/>
        </w:numPr>
        <w:spacing w:after="100"/>
      </w:pPr>
      <w:r>
        <w:rPr>
          <w:b/>
          <w:bCs/>
        </w:rPr>
        <w:t xml:space="preserve">Published Gene Knockdown Studies: </w:t>
      </w:r>
      <w:r>
        <w:t xml:space="preserve">Cross-reference with literature for orthogonal validation</w:t>
      </w:r>
    </w:p>
    <w:p>
      <w:pPr>
        <w:spacing w:after="100"/>
      </w:pPr>
      <w:r>
        <w:rPr>
          <w:b/>
          <w:bCs/>
        </w:rPr>
        <w:t xml:space="preserve">Exemplary Sub-Prompts:</w:t>
      </w:r>
    </w:p>
    <w:p>
      <w:pPr>
        <w:pStyle w:val="ListParagraph"/>
        <w:numPr>
          <w:ilvl w:val="0"/>
          <w:numId w:val="2"/>
        </w:numPr>
        <w:spacing w:after="100"/>
      </w:pPr>
      <w:r>
        <w:t xml:space="preserve">Extract Quiver CRISPR knockdown phenotypes for SCN1A, SCN8A, SCN9A (sodium channel cluster) in iPSC-derived neurons. Quantify changes in AP duration, threshold, and firing frequency.</w:t>
      </w:r>
    </w:p>
    <w:p>
      <w:pPr>
        <w:pStyle w:val="ListParagraph"/>
        <w:numPr>
          <w:ilvl w:val="0"/>
          <w:numId w:val="2"/>
        </w:numPr>
        <w:spacing w:after="100"/>
      </w:pPr>
      <w:r>
        <w:t xml:space="preserve">Retrieve GABA receptor cluster phenotypes (GABRB2, GABRG2, GABRA1) for inhibitory neuron development and GABA release.</w:t>
      </w:r>
    </w:p>
    <w:p>
      <w:pPr>
        <w:pStyle w:val="ListParagraph"/>
        <w:numPr>
          <w:ilvl w:val="0"/>
          <w:numId w:val="2"/>
        </w:numPr>
        <w:spacing w:after="100"/>
      </w:pPr>
      <w:r>
        <w:t xml:space="preserve">Standardize phenotype measurements across genes using consistent units and effect size metrics (Cohen's d, fold-change relative to control).</w:t>
      </w:r>
    </w:p>
    <w:p>
      <w:pPr>
        <w:spacing w:after="100"/>
      </w:pPr>
      <w:r>
        <w:rPr>
          <w:b/>
          <w:bCs/>
        </w:rPr>
        <w:t xml:space="preserve">Expected Outputs:</w:t>
      </w:r>
    </w:p>
    <w:p>
      <w:pPr>
        <w:pStyle w:val="ListParagraph"/>
        <w:numPr>
          <w:ilvl w:val="0"/>
          <w:numId w:val="2"/>
        </w:numPr>
        <w:spacing w:after="100"/>
      </w:pPr>
      <w:r>
        <w:t xml:space="preserve">Effect size quantification per gene (excitability score, phenotype disruption magnitude)</w:t>
      </w:r>
    </w:p>
    <w:p>
      <w:pPr>
        <w:pStyle w:val="ListParagraph"/>
        <w:numPr>
          <w:ilvl w:val="0"/>
          <w:numId w:val="2"/>
        </w:numPr>
        <w:spacing w:after="100"/>
      </w:pPr>
      <w:r>
        <w:t xml:space="preserve">Ranked genes by impact on epilepsy-relevant phenotypes</w:t>
      </w:r>
    </w:p>
    <w:p>
      <w:pPr>
        <w:pStyle w:val="ListParagraph"/>
        <w:numPr>
          <w:ilvl w:val="0"/>
          <w:numId w:val="2"/>
        </w:numPr>
        <w:spacing w:after="100"/>
      </w:pPr>
      <w:r>
        <w:t xml:space="preserve">Phenotype correlation matrix (genes that produce similar or orthogonal effects)</w:t>
      </w:r>
    </w:p>
    <w:p>
      <w:pPr>
        <w:pStyle w:val="ListParagraph"/>
        <w:numPr>
          <w:ilvl w:val="0"/>
          <w:numId w:val="2"/>
        </w:numPr>
        <w:spacing w:after="100"/>
      </w:pPr>
      <w:r>
        <w:t xml:space="preserve">Confidence scores for Quiver predictions (validation against literature)</w:t>
      </w:r>
    </w:p>
    <w:p>
      <w:pPr>
        <w:spacing w:after="200" w:line="360"/>
      </w:pPr>
      <w:r>
        <w:rPr>
          <w:b/>
          <w:bCs/>
        </w:rPr>
        <w:t xml:space="preserve">Format: </w:t>
      </w:r>
      <w:r>
        <w:t xml:space="preserve">Spreadsheet with gene ID, phenotype metric, effect size, p-value, confidence score.</w:t>
      </w:r>
    </w:p>
    <w:p>
      <w:pPr>
        <w:pStyle w:val="Heading2"/>
        <w:spacing w:before="200" w:after="200"/>
      </w:pPr>
      <w:r>
        <w:rPr>
          <w:b/>
          <w:bCs/>
          <w:sz w:val="28"/>
          <w:szCs w:val="28"/>
        </w:rPr>
        <w:t xml:space="preserve">Stage 3: Combinatorial Synergy Prediction</w:t>
      </w:r>
    </w:p>
    <w:p>
      <w:pPr>
        <w:spacing w:after="200" w:line="360"/>
      </w:pPr>
      <w:r>
        <w:rPr>
          <w:b/>
          <w:bCs/>
        </w:rPr>
        <w:t xml:space="preserve">Purpose: </w:t>
      </w:r>
      <w:r>
        <w:t xml:space="preserve">Predict which gene pairs or triplets produce synergistic epilepsy rescue when targeted simultaneously. Use Quiver combinatorial perturbation data (if available) or computational synergy models (Bliss independence, Loewe additivity, Bayesian network scoring) to rank combinations.</w:t>
      </w:r>
    </w:p>
    <w:p>
      <w:pPr>
        <w:spacing w:after="100"/>
      </w:pPr>
      <w:r>
        <w:rPr>
          <w:b/>
          <w:bCs/>
        </w:rPr>
        <w:t xml:space="preserve">Inputs:</w:t>
      </w:r>
    </w:p>
    <w:p>
      <w:pPr>
        <w:pStyle w:val="ListParagraph"/>
        <w:numPr>
          <w:ilvl w:val="0"/>
          <w:numId w:val="2"/>
        </w:numPr>
        <w:spacing w:after="100"/>
      </w:pPr>
      <w:r>
        <w:t xml:space="preserve">Single-gene EP phenotypes from Stage 2</w:t>
      </w:r>
    </w:p>
    <w:p>
      <w:pPr>
        <w:pStyle w:val="ListParagraph"/>
        <w:numPr>
          <w:ilvl w:val="0"/>
          <w:numId w:val="2"/>
        </w:numPr>
        <w:spacing w:after="100"/>
      </w:pPr>
      <w:r>
        <w:t xml:space="preserve">Quiver combinatorial CRISPR perturbation data (double/triple knockdowns)</w:t>
      </w:r>
    </w:p>
    <w:p>
      <w:pPr>
        <w:pStyle w:val="ListParagraph"/>
        <w:numPr>
          <w:ilvl w:val="0"/>
          <w:numId w:val="2"/>
        </w:numPr>
        <w:spacing w:after="100"/>
      </w:pPr>
      <w:r>
        <w:t xml:space="preserve">Protein-protein interaction networks (STRING, BioGRID)</w:t>
      </w:r>
    </w:p>
    <w:p>
      <w:pPr>
        <w:pStyle w:val="ListParagraph"/>
        <w:numPr>
          <w:ilvl w:val="0"/>
          <w:numId w:val="2"/>
        </w:numPr>
        <w:spacing w:after="100"/>
      </w:pPr>
      <w:r>
        <w:t xml:space="preserve">Published combination ASO or drug studies in epilepsy</w:t>
      </w:r>
    </w:p>
    <w:p>
      <w:pPr>
        <w:spacing w:after="100"/>
      </w:pPr>
      <w:r>
        <w:rPr>
          <w:b/>
          <w:bCs/>
        </w:rPr>
        <w:t xml:space="preserve">Tools &amp; Databases Called:</w:t>
      </w:r>
    </w:p>
    <w:p>
      <w:pPr>
        <w:pStyle w:val="ListParagraph"/>
        <w:numPr>
          <w:ilvl w:val="0"/>
          <w:numId w:val="2"/>
        </w:numPr>
        <w:spacing w:after="100"/>
      </w:pPr>
      <w:r>
        <w:rPr>
          <w:b/>
          <w:bCs/>
        </w:rPr>
        <w:t xml:space="preserve">Quiver Combinatorial Perturbation Module: </w:t>
      </w:r>
      <w:r>
        <w:t xml:space="preserve">Query double/triple knockdown phenotypes for top gene pairs from clusters</w:t>
      </w:r>
    </w:p>
    <w:p>
      <w:pPr>
        <w:pStyle w:val="ListParagraph"/>
        <w:numPr>
          <w:ilvl w:val="0"/>
          <w:numId w:val="2"/>
        </w:numPr>
        <w:spacing w:after="100"/>
      </w:pPr>
      <w:r>
        <w:rPr>
          <w:b/>
          <w:bCs/>
        </w:rPr>
        <w:t xml:space="preserve">Bliss Independence Model: </w:t>
      </w:r>
      <w:r>
        <w:t xml:space="preserve">Calculate expected additive effect; compare observed vs. predicted to identify synergy (δ &gt; 0 indicates synergy)</w:t>
      </w:r>
    </w:p>
    <w:p>
      <w:pPr>
        <w:pStyle w:val="ListParagraph"/>
        <w:numPr>
          <w:ilvl w:val="0"/>
          <w:numId w:val="2"/>
        </w:numPr>
        <w:spacing w:after="100"/>
      </w:pPr>
      <w:r>
        <w:rPr>
          <w:b/>
          <w:bCs/>
        </w:rPr>
        <w:t xml:space="preserve">Loewe Additivity Model: </w:t>
      </w:r>
      <w:r>
        <w:t xml:space="preserve">Estimate combination index (CI &lt; 1 = synergy, CI = 1 = additivity, CI &gt; 1 = antagonism)</w:t>
      </w:r>
    </w:p>
    <w:p>
      <w:pPr>
        <w:pStyle w:val="ListParagraph"/>
        <w:numPr>
          <w:ilvl w:val="0"/>
          <w:numId w:val="2"/>
        </w:numPr>
        <w:spacing w:after="100"/>
      </w:pPr>
      <w:r>
        <w:rPr>
          <w:b/>
          <w:bCs/>
        </w:rPr>
        <w:t xml:space="preserve">Network Pharmacology Synergy Prediction: </w:t>
      </w:r>
      <w:r>
        <w:t xml:space="preserve">Use graph-based algorithms to identify genes with complementary pathway roles</w:t>
      </w:r>
    </w:p>
    <w:p>
      <w:pPr>
        <w:pStyle w:val="ListParagraph"/>
        <w:numPr>
          <w:ilvl w:val="0"/>
          <w:numId w:val="2"/>
        </w:numPr>
        <w:spacing w:after="100"/>
      </w:pPr>
      <w:r>
        <w:rPr>
          <w:b/>
          <w:bCs/>
        </w:rPr>
        <w:t xml:space="preserve">Published Combination Precedents: </w:t>
      </w:r>
      <w:r>
        <w:t xml:space="preserve">Mine literature for ASO or small molecule combinations with positive clinical/preclinical outcomes</w:t>
      </w:r>
    </w:p>
    <w:p>
      <w:pPr>
        <w:spacing w:after="100"/>
      </w:pPr>
      <w:r>
        <w:rPr>
          <w:b/>
          <w:bCs/>
        </w:rPr>
        <w:t xml:space="preserve">Exemplary Sub-Prompts:</w:t>
      </w:r>
    </w:p>
    <w:p>
      <w:pPr>
        <w:pStyle w:val="ListParagraph"/>
        <w:numPr>
          <w:ilvl w:val="0"/>
          <w:numId w:val="2"/>
        </w:numPr>
        <w:spacing w:after="100"/>
      </w:pPr>
      <w:r>
        <w:t xml:space="preserve">Query Quiver for double knockdowns: SCN1A + GABRB2, SCN1A + MTOR, SCN8A + GABRG2. Extract phenotype measurements.</w:t>
      </w:r>
    </w:p>
    <w:p>
      <w:pPr>
        <w:pStyle w:val="ListParagraph"/>
        <w:numPr>
          <w:ilvl w:val="0"/>
          <w:numId w:val="2"/>
        </w:numPr>
        <w:spacing w:after="100"/>
      </w:pPr>
      <w:r>
        <w:t xml:space="preserve">Apply Bliss independence model: for each pair, calculate expected effect if purely additive; compare to observed Quiver phenotype.</w:t>
      </w:r>
    </w:p>
    <w:p>
      <w:pPr>
        <w:pStyle w:val="ListParagraph"/>
        <w:numPr>
          <w:ilvl w:val="0"/>
          <w:numId w:val="2"/>
        </w:numPr>
        <w:spacing w:after="100"/>
      </w:pPr>
      <w:r>
        <w:t xml:space="preserve">Score network synergy: query STRING for direct interactions between gene pairs. Pairs with no interaction but complementary pathways may show synergy.</w:t>
      </w:r>
    </w:p>
    <w:p>
      <w:pPr>
        <w:spacing w:after="100"/>
      </w:pPr>
      <w:r>
        <w:rPr>
          <w:b/>
          <w:bCs/>
        </w:rPr>
        <w:t xml:space="preserve">Expected Outputs:</w:t>
      </w:r>
    </w:p>
    <w:p>
      <w:pPr>
        <w:pStyle w:val="ListParagraph"/>
        <w:numPr>
          <w:ilvl w:val="0"/>
          <w:numId w:val="2"/>
        </w:numPr>
        <w:spacing w:after="100"/>
      </w:pPr>
      <w:r>
        <w:t xml:space="preserve">Ranked list of gene pairs/triplets with synergy scores (Bliss δ, Loewe CI, network score)</w:t>
      </w:r>
    </w:p>
    <w:p>
      <w:pPr>
        <w:pStyle w:val="ListParagraph"/>
        <w:numPr>
          <w:ilvl w:val="0"/>
          <w:numId w:val="2"/>
        </w:numPr>
        <w:spacing w:after="100"/>
      </w:pPr>
      <w:r>
        <w:t xml:space="preserve">Quiver combinatorial phenotype data for top combinations</w:t>
      </w:r>
    </w:p>
    <w:p>
      <w:pPr>
        <w:pStyle w:val="ListParagraph"/>
        <w:numPr>
          <w:ilvl w:val="0"/>
          <w:numId w:val="2"/>
        </w:numPr>
        <w:spacing w:after="100"/>
      </w:pPr>
      <w:r>
        <w:t xml:space="preserve">Synergy classification: synergistic (Bliss δ &gt; 10%), additive, or antagonistic</w:t>
      </w:r>
    </w:p>
    <w:p>
      <w:pPr>
        <w:pStyle w:val="ListParagraph"/>
        <w:numPr>
          <w:ilvl w:val="0"/>
          <w:numId w:val="2"/>
        </w:numPr>
        <w:spacing w:after="100"/>
      </w:pPr>
      <w:r>
        <w:t xml:space="preserve">Mechanism annotations (e.g., 'synergistic due to complementary ion channel and GABA inhibition pathways')</w:t>
      </w:r>
    </w:p>
    <w:p>
      <w:pPr>
        <w:spacing w:after="200" w:line="360"/>
      </w:pPr>
      <w:r>
        <w:rPr>
          <w:b/>
          <w:bCs/>
        </w:rPr>
        <w:t xml:space="preserve">Format: </w:t>
      </w:r>
      <w:r>
        <w:t xml:space="preserve">Spreadsheet (gene pair, synergy score, Bliss δ, Loewe CI, mechanism note) and heatmap visualization.</w:t>
      </w:r>
    </w:p>
    <w:p>
      <w:pPr>
        <w:pStyle w:val="Heading2"/>
        <w:spacing w:before="200" w:after="200"/>
      </w:pPr>
      <w:r>
        <w:rPr>
          <w:b/>
          <w:bCs/>
          <w:sz w:val="28"/>
          <w:szCs w:val="28"/>
        </w:rPr>
        <w:t xml:space="preserve">Stage 4: Combination ASO Design</w:t>
      </w:r>
    </w:p>
    <w:p>
      <w:pPr>
        <w:spacing w:after="200" w:line="360"/>
      </w:pPr>
      <w:r>
        <w:rPr>
          <w:b/>
          <w:bCs/>
        </w:rPr>
        <w:t xml:space="preserve">Purpose: </w:t>
      </w:r>
      <w:r>
        <w:t xml:space="preserve">For top synergistic combinations identified in Stage 3, design individual ASOs for each target. Optimize for compatibility: similar chemistry, compatible pharmacokinetics (PK), no cross-hybridization between ASOs, and feasibility of co-delivery (dose volume, formulation).</w:t>
      </w:r>
    </w:p>
    <w:p>
      <w:pPr>
        <w:spacing w:after="100"/>
      </w:pPr>
      <w:r>
        <w:rPr>
          <w:b/>
          <w:bCs/>
        </w:rPr>
        <w:t xml:space="preserve">Inputs:</w:t>
      </w:r>
    </w:p>
    <w:p>
      <w:pPr>
        <w:pStyle w:val="ListParagraph"/>
        <w:numPr>
          <w:ilvl w:val="0"/>
          <w:numId w:val="2"/>
        </w:numPr>
        <w:spacing w:after="100"/>
      </w:pPr>
      <w:r>
        <w:t xml:space="preserve">Top synergistic gene combinations from Stage 3</w:t>
      </w:r>
    </w:p>
    <w:p>
      <w:pPr>
        <w:pStyle w:val="ListParagraph"/>
        <w:numPr>
          <w:ilvl w:val="0"/>
          <w:numId w:val="2"/>
        </w:numPr>
        <w:spacing w:after="100"/>
      </w:pPr>
      <w:r>
        <w:t xml:space="preserve">Target mRNA sequences (RefSeq, NCBI)</w:t>
      </w:r>
    </w:p>
    <w:p>
      <w:pPr>
        <w:pStyle w:val="ListParagraph"/>
        <w:numPr>
          <w:ilvl w:val="0"/>
          <w:numId w:val="2"/>
        </w:numPr>
        <w:spacing w:after="100"/>
      </w:pPr>
      <w:r>
        <w:t xml:space="preserve">Published ASO designs for same targets (precedent sequences)</w:t>
      </w:r>
    </w:p>
    <w:p>
      <w:pPr>
        <w:spacing w:after="100"/>
      </w:pPr>
      <w:r>
        <w:rPr>
          <w:b/>
          <w:bCs/>
        </w:rPr>
        <w:t xml:space="preserve">Tools &amp; Databases Called:</w:t>
      </w:r>
    </w:p>
    <w:p>
      <w:pPr>
        <w:pStyle w:val="ListParagraph"/>
        <w:numPr>
          <w:ilvl w:val="0"/>
          <w:numId w:val="2"/>
        </w:numPr>
        <w:spacing w:after="100"/>
      </w:pPr>
      <w:r>
        <w:rPr>
          <w:b/>
          <w:bCs/>
        </w:rPr>
        <w:t xml:space="preserve">Quiver ASO Design Module: </w:t>
      </w:r>
      <w:r>
        <w:t xml:space="preserve">Generate candidate ASO sequences optimized for hybridization, thermodynamic stability, and off-target avoidance</w:t>
      </w:r>
    </w:p>
    <w:p>
      <w:pPr>
        <w:pStyle w:val="ListParagraph"/>
        <w:numPr>
          <w:ilvl w:val="0"/>
          <w:numId w:val="2"/>
        </w:numPr>
        <w:spacing w:after="100"/>
      </w:pPr>
      <w:r>
        <w:rPr>
          <w:b/>
          <w:bCs/>
        </w:rPr>
        <w:t xml:space="preserve">BLAST (NCBI): </w:t>
      </w:r>
      <w:r>
        <w:t xml:space="preserve">Check each ASO sequence for cross-hybridization with other ASOs and off-target mRNAs</w:t>
      </w:r>
    </w:p>
    <w:p>
      <w:pPr>
        <w:pStyle w:val="ListParagraph"/>
        <w:numPr>
          <w:ilvl w:val="0"/>
          <w:numId w:val="2"/>
        </w:numPr>
        <w:spacing w:after="100"/>
      </w:pPr>
      <w:r>
        <w:rPr>
          <w:b/>
          <w:bCs/>
        </w:rPr>
        <w:t xml:space="preserve">OligoCalc: </w:t>
      </w:r>
      <w:r>
        <w:t xml:space="preserve">Calculate Tm, GC content, and secondary structure parameters for each ASO</w:t>
      </w:r>
    </w:p>
    <w:p>
      <w:pPr>
        <w:pStyle w:val="ListParagraph"/>
        <w:numPr>
          <w:ilvl w:val="0"/>
          <w:numId w:val="2"/>
        </w:numPr>
        <w:spacing w:after="100"/>
      </w:pPr>
      <w:r>
        <w:rPr>
          <w:b/>
          <w:bCs/>
        </w:rPr>
        <w:t xml:space="preserve">RNAfold (Vienna RNA Package): </w:t>
      </w:r>
      <w:r>
        <w:t xml:space="preserve">Predict secondary structure and hybridization energy for ASO-mRNA pairs</w:t>
      </w:r>
    </w:p>
    <w:p>
      <w:pPr>
        <w:pStyle w:val="ListParagraph"/>
        <w:numPr>
          <w:ilvl w:val="0"/>
          <w:numId w:val="2"/>
        </w:numPr>
        <w:spacing w:after="100"/>
      </w:pPr>
      <w:r>
        <w:rPr>
          <w:b/>
          <w:bCs/>
        </w:rPr>
        <w:t xml:space="preserve">Thermodynamic Compatibility Analysis: </w:t>
      </w:r>
      <w:r>
        <w:t xml:space="preserve">Ensure ASOs have similar Tm and chemistry for uniform dosing and co-administration</w:t>
      </w:r>
    </w:p>
    <w:p>
      <w:pPr>
        <w:spacing w:after="100"/>
      </w:pPr>
      <w:r>
        <w:rPr>
          <w:b/>
          <w:bCs/>
        </w:rPr>
        <w:t xml:space="preserve">Exemplary Sub-Prompts:</w:t>
      </w:r>
    </w:p>
    <w:p>
      <w:pPr>
        <w:pStyle w:val="ListParagraph"/>
        <w:numPr>
          <w:ilvl w:val="0"/>
          <w:numId w:val="2"/>
        </w:numPr>
        <w:spacing w:after="100"/>
      </w:pPr>
      <w:r>
        <w:t xml:space="preserve">Design 3–5 candidate ASOs for SCN1A targeting exon 1 splice region (5' UTR to exon 2). Optimize for Tm 88–92 °C, GC 40–60%, minimizing secondary structure.</w:t>
      </w:r>
    </w:p>
    <w:p>
      <w:pPr>
        <w:pStyle w:val="ListParagraph"/>
        <w:numPr>
          <w:ilvl w:val="0"/>
          <w:numId w:val="2"/>
        </w:numPr>
        <w:spacing w:after="100"/>
      </w:pPr>
      <w:r>
        <w:t xml:space="preserve">For each SCN1A ASO candidate, run BLAST against human genome (NCBI) to identify off-target sites. Flag any ASO with &gt;4 off-target matches with ≤18 nt complementarity.</w:t>
      </w:r>
    </w:p>
    <w:p>
      <w:pPr>
        <w:pStyle w:val="ListParagraph"/>
        <w:numPr>
          <w:ilvl w:val="0"/>
          <w:numId w:val="2"/>
        </w:numPr>
        <w:spacing w:after="100"/>
      </w:pPr>
      <w:r>
        <w:t xml:space="preserve">Cross-check all ASOs in the combination pair (e.g., SCN1A + GABRB2 ASOs) for inter-ASO hybridization using BLAST pairwise comparisons.</w:t>
      </w:r>
    </w:p>
    <w:p>
      <w:pPr>
        <w:spacing w:after="100"/>
      </w:pPr>
      <w:r>
        <w:rPr>
          <w:b/>
          <w:bCs/>
        </w:rPr>
        <w:t xml:space="preserve">Expected Outputs:</w:t>
      </w:r>
    </w:p>
    <w:p>
      <w:pPr>
        <w:pStyle w:val="ListParagraph"/>
        <w:numPr>
          <w:ilvl w:val="0"/>
          <w:numId w:val="2"/>
        </w:numPr>
        <w:spacing w:after="100"/>
      </w:pPr>
      <w:r>
        <w:t xml:space="preserve">Top ASO sequence per gene target (1–2 lead candidates per gene)</w:t>
      </w:r>
    </w:p>
    <w:p>
      <w:pPr>
        <w:pStyle w:val="ListParagraph"/>
        <w:numPr>
          <w:ilvl w:val="0"/>
          <w:numId w:val="2"/>
        </w:numPr>
        <w:spacing w:after="100"/>
      </w:pPr>
      <w:r>
        <w:t xml:space="preserve">ASO characterization: sequence, Tm, GC %, chemistry (2'-O-methyl, phosphorothioate, etc.)</w:t>
      </w:r>
    </w:p>
    <w:p>
      <w:pPr>
        <w:pStyle w:val="ListParagraph"/>
        <w:numPr>
          <w:ilvl w:val="0"/>
          <w:numId w:val="2"/>
        </w:numPr>
        <w:spacing w:after="100"/>
      </w:pPr>
      <w:r>
        <w:t xml:space="preserve">Off-target analysis report (count and location of off-target matches per ASO)</w:t>
      </w:r>
    </w:p>
    <w:p>
      <w:pPr>
        <w:pStyle w:val="ListParagraph"/>
        <w:numPr>
          <w:ilvl w:val="0"/>
          <w:numId w:val="2"/>
        </w:numPr>
        <w:spacing w:after="100"/>
      </w:pPr>
      <w:r>
        <w:t xml:space="preserve">Cross-hybridization matrix (pairwise ASO compatibility check)</w:t>
      </w:r>
    </w:p>
    <w:p>
      <w:pPr>
        <w:spacing w:after="200" w:line="360"/>
      </w:pPr>
      <w:r>
        <w:rPr>
          <w:b/>
          <w:bCs/>
        </w:rPr>
        <w:t xml:space="preserve">Format: </w:t>
      </w:r>
      <w:r>
        <w:t xml:space="preserve">Spreadsheet with ASO sequence, target, Tm, GC %, off-target count, status (approved/flagged).</w:t>
      </w:r>
    </w:p>
    <w:p>
      <w:pPr>
        <w:pStyle w:val="Heading2"/>
        <w:spacing w:before="200" w:after="200"/>
      </w:pPr>
      <w:r>
        <w:rPr>
          <w:b/>
          <w:bCs/>
          <w:sz w:val="28"/>
          <w:szCs w:val="28"/>
        </w:rPr>
        <w:t xml:space="preserve">Stage 5: Cumulative Safety Assessment</w:t>
      </w:r>
    </w:p>
    <w:p>
      <w:pPr>
        <w:spacing w:after="200" w:line="360"/>
      </w:pPr>
      <w:r>
        <w:rPr>
          <w:b/>
          <w:bCs/>
        </w:rPr>
        <w:t xml:space="preserve">Purpose: </w:t>
      </w:r>
      <w:r>
        <w:t xml:space="preserve">Evaluate cumulative toxicity profile of the combination ASO regimen. Assess additive hepatotoxicity, total immune activation burden, aggregate off-target effects, CpG motif immunogenicity, and dose volume constraints for intrathecal (IT) or systemic delivery.</w:t>
      </w:r>
    </w:p>
    <w:p>
      <w:pPr>
        <w:spacing w:after="100"/>
      </w:pPr>
      <w:r>
        <w:rPr>
          <w:b/>
          <w:bCs/>
        </w:rPr>
        <w:t xml:space="preserve">Inputs:</w:t>
      </w:r>
    </w:p>
    <w:p>
      <w:pPr>
        <w:pStyle w:val="ListParagraph"/>
        <w:numPr>
          <w:ilvl w:val="0"/>
          <w:numId w:val="2"/>
        </w:numPr>
        <w:spacing w:after="100"/>
      </w:pPr>
      <w:r>
        <w:t xml:space="preserve">ASO designs and off-target analyses from Stage 4</w:t>
      </w:r>
    </w:p>
    <w:p>
      <w:pPr>
        <w:pStyle w:val="ListParagraph"/>
        <w:numPr>
          <w:ilvl w:val="0"/>
          <w:numId w:val="2"/>
        </w:numPr>
        <w:spacing w:after="100"/>
      </w:pPr>
      <w:r>
        <w:t xml:space="preserve">Published single-ASO safety data for each target (IND, clinical trial reports)</w:t>
      </w:r>
    </w:p>
    <w:p>
      <w:pPr>
        <w:pStyle w:val="ListParagraph"/>
        <w:numPr>
          <w:ilvl w:val="0"/>
          <w:numId w:val="2"/>
        </w:numPr>
        <w:spacing w:after="100"/>
      </w:pPr>
      <w:r>
        <w:t xml:space="preserve">Quiver EP Toxicity Atlas (preclinical perturbation toxicity assessments)</w:t>
      </w:r>
    </w:p>
    <w:p>
      <w:pPr>
        <w:pStyle w:val="ListParagraph"/>
        <w:numPr>
          <w:ilvl w:val="0"/>
          <w:numId w:val="2"/>
        </w:numPr>
        <w:spacing w:after="100"/>
      </w:pPr>
      <w:r>
        <w:t xml:space="preserve">Published combination ASO toxicology studies</w:t>
      </w:r>
    </w:p>
    <w:p>
      <w:pPr>
        <w:spacing w:after="100"/>
      </w:pPr>
      <w:r>
        <w:rPr>
          <w:b/>
          <w:bCs/>
        </w:rPr>
        <w:t xml:space="preserve">Tools &amp; Databases Called:</w:t>
      </w:r>
    </w:p>
    <w:p>
      <w:pPr>
        <w:pStyle w:val="ListParagraph"/>
        <w:numPr>
          <w:ilvl w:val="0"/>
          <w:numId w:val="2"/>
        </w:numPr>
        <w:spacing w:after="100"/>
      </w:pPr>
      <w:r>
        <w:rPr>
          <w:b/>
          <w:bCs/>
        </w:rPr>
        <w:t xml:space="preserve">Sapphire Combination Safety Model: </w:t>
      </w:r>
      <w:r>
        <w:t xml:space="preserve">Proprietary model integrating hepatotoxicity, immunogenicity, and off-target risk scores</w:t>
      </w:r>
    </w:p>
    <w:p>
      <w:pPr>
        <w:pStyle w:val="ListParagraph"/>
        <w:numPr>
          <w:ilvl w:val="0"/>
          <w:numId w:val="2"/>
        </w:numPr>
        <w:spacing w:after="100"/>
      </w:pPr>
      <w:r>
        <w:rPr>
          <w:b/>
          <w:bCs/>
        </w:rPr>
        <w:t xml:space="preserve">BLAST (off-target analysis): </w:t>
      </w:r>
      <w:r>
        <w:t xml:space="preserve">Aggregate off-target matches across all ASOs to estimate cumulative unintended transcript suppression</w:t>
      </w:r>
    </w:p>
    <w:p>
      <w:pPr>
        <w:pStyle w:val="ListParagraph"/>
        <w:numPr>
          <w:ilvl w:val="0"/>
          <w:numId w:val="2"/>
        </w:numPr>
        <w:spacing w:after="100"/>
      </w:pPr>
      <w:r>
        <w:rPr>
          <w:b/>
          <w:bCs/>
        </w:rPr>
        <w:t xml:space="preserve">CpG Motif Analysis: </w:t>
      </w:r>
      <w:r>
        <w:t xml:space="preserve">Scan ASO sequences and predicted off-targets for immunostimulatory CpG dinucleotides</w:t>
      </w:r>
    </w:p>
    <w:p>
      <w:pPr>
        <w:pStyle w:val="ListParagraph"/>
        <w:numPr>
          <w:ilvl w:val="0"/>
          <w:numId w:val="2"/>
        </w:numPr>
        <w:spacing w:after="100"/>
      </w:pPr>
      <w:r>
        <w:rPr>
          <w:b/>
          <w:bCs/>
        </w:rPr>
        <w:t xml:space="preserve">Quiver EP Toxicity Atlas: </w:t>
      </w:r>
      <w:r>
        <w:t xml:space="preserve">Retrieve hepatotoxicity, neurotoxicity, and immune activation scores for each target perturbation</w:t>
      </w:r>
    </w:p>
    <w:p>
      <w:pPr>
        <w:pStyle w:val="ListParagraph"/>
        <w:numPr>
          <w:ilvl w:val="0"/>
          <w:numId w:val="2"/>
        </w:numPr>
        <w:spacing w:after="100"/>
      </w:pPr>
      <w:r>
        <w:rPr>
          <w:b/>
          <w:bCs/>
        </w:rPr>
        <w:t xml:space="preserve">Published Combination Safety Data: </w:t>
      </w:r>
      <w:r>
        <w:t xml:space="preserve">Literature review of ASO pairs or triplets and their preclinical/clinical safety profiles</w:t>
      </w:r>
    </w:p>
    <w:p>
      <w:pPr>
        <w:spacing w:after="100"/>
      </w:pPr>
      <w:r>
        <w:rPr>
          <w:b/>
          <w:bCs/>
        </w:rPr>
        <w:t xml:space="preserve">Exemplary Sub-Prompts:</w:t>
      </w:r>
    </w:p>
    <w:p>
      <w:pPr>
        <w:pStyle w:val="ListParagraph"/>
        <w:numPr>
          <w:ilvl w:val="0"/>
          <w:numId w:val="2"/>
        </w:numPr>
        <w:spacing w:after="100"/>
      </w:pPr>
      <w:r>
        <w:t xml:space="preserve">Retrieve published IND and clinical safety data for single ASOs targeting SCN1A, GABRB2, and MTOR. Extract hepatotoxicity grades, immune responses (cytokine levels), and dose-limiting toxicities.</w:t>
      </w:r>
    </w:p>
    <w:p>
      <w:pPr>
        <w:pStyle w:val="ListParagraph"/>
        <w:numPr>
          <w:ilvl w:val="0"/>
          <w:numId w:val="2"/>
        </w:numPr>
        <w:spacing w:after="100"/>
      </w:pPr>
      <w:r>
        <w:t xml:space="preserve">For the combination SCN1A + GABRB2 + MTOR, estimate additive hepatotoxicity using Sapphire model: assume worst-case additive toxicity at equivalent doses.</w:t>
      </w:r>
    </w:p>
    <w:p>
      <w:pPr>
        <w:pStyle w:val="ListParagraph"/>
        <w:numPr>
          <w:ilvl w:val="0"/>
          <w:numId w:val="2"/>
        </w:numPr>
        <w:spacing w:after="100"/>
      </w:pPr>
      <w:r>
        <w:t xml:space="preserve">Scan all three ASOs and their off-target transcripts for CpG content. Flag if cumulative CpG load exceeds published safe thresholds.</w:t>
      </w:r>
    </w:p>
    <w:p>
      <w:pPr>
        <w:spacing w:after="100"/>
      </w:pPr>
      <w:r>
        <w:rPr>
          <w:b/>
          <w:bCs/>
        </w:rPr>
        <w:t xml:space="preserve">Expected Outputs:</w:t>
      </w:r>
    </w:p>
    <w:p>
      <w:pPr>
        <w:pStyle w:val="ListParagraph"/>
        <w:numPr>
          <w:ilvl w:val="0"/>
          <w:numId w:val="2"/>
        </w:numPr>
        <w:spacing w:after="100"/>
      </w:pPr>
      <w:r>
        <w:t xml:space="preserve">Safety scorecard: hepatotoxicity risk, immunogenicity risk, off-target burden, CpG load per combination</w:t>
      </w:r>
    </w:p>
    <w:p>
      <w:pPr>
        <w:pStyle w:val="ListParagraph"/>
        <w:numPr>
          <w:ilvl w:val="0"/>
          <w:numId w:val="2"/>
        </w:numPr>
        <w:spacing w:after="100"/>
      </w:pPr>
      <w:r>
        <w:t xml:space="preserve">Cumulative safety classification: low risk, moderate risk, high risk (requiring further optimization)</w:t>
      </w:r>
    </w:p>
    <w:p>
      <w:pPr>
        <w:pStyle w:val="ListParagraph"/>
        <w:numPr>
          <w:ilvl w:val="0"/>
          <w:numId w:val="2"/>
        </w:numPr>
        <w:spacing w:after="100"/>
      </w:pPr>
      <w:r>
        <w:t xml:space="preserve">Proposed dose levels for each ASO in combination (mg/kg or mg/patient) based on single-ASO data and additivity assumptions</w:t>
      </w:r>
    </w:p>
    <w:p>
      <w:pPr>
        <w:pStyle w:val="ListParagraph"/>
        <w:numPr>
          <w:ilvl w:val="0"/>
          <w:numId w:val="2"/>
        </w:numPr>
        <w:spacing w:after="100"/>
      </w:pPr>
      <w:r>
        <w:t xml:space="preserve">Recommended monitoring parameters (liver function tests, cytokine panels, neurological assessments)</w:t>
      </w:r>
    </w:p>
    <w:p>
      <w:pPr>
        <w:spacing w:after="200" w:line="360"/>
      </w:pPr>
      <w:r>
        <w:rPr>
          <w:b/>
          <w:bCs/>
        </w:rPr>
        <w:t xml:space="preserve">Format: </w:t>
      </w:r>
      <w:r>
        <w:t xml:space="preserve">Safety report with risk scores, dose recommendations, and monitoring plan.</w:t>
      </w:r>
    </w:p>
    <w:p>
      <w:pPr>
        <w:pStyle w:val="Heading2"/>
        <w:spacing w:before="200" w:after="200"/>
      </w:pPr>
      <w:r>
        <w:rPr>
          <w:b/>
          <w:bCs/>
          <w:sz w:val="28"/>
          <w:szCs w:val="28"/>
        </w:rPr>
        <w:t xml:space="preserve">Stage 6: Combination Strategy Ranking &amp; Recommendations</w:t>
      </w:r>
    </w:p>
    <w:p>
      <w:pPr>
        <w:spacing w:after="200" w:line="360"/>
      </w:pPr>
      <w:r>
        <w:rPr>
          <w:b/>
          <w:bCs/>
        </w:rPr>
        <w:t xml:space="preserve">Purpose: </w:t>
      </w:r>
      <w:r>
        <w:t xml:space="preserve">Integrate synergy scores, safety assessments, and clinical precedents to rank combination strategies by synergy-to-risk ratio. Provide detailed recommendations for optimal combination regimens, dosing schedules, and development pathway (preclinical IND-enabling studies, clinical trial design).</w:t>
      </w:r>
    </w:p>
    <w:p>
      <w:pPr>
        <w:spacing w:after="100"/>
      </w:pPr>
      <w:r>
        <w:rPr>
          <w:b/>
          <w:bCs/>
        </w:rPr>
        <w:t xml:space="preserve">Inputs:</w:t>
      </w:r>
    </w:p>
    <w:p>
      <w:pPr>
        <w:pStyle w:val="ListParagraph"/>
        <w:numPr>
          <w:ilvl w:val="0"/>
          <w:numId w:val="2"/>
        </w:numPr>
        <w:spacing w:after="100"/>
      </w:pPr>
      <w:r>
        <w:t xml:space="preserve">Ranked synergistic combinations from Stage 3</w:t>
      </w:r>
    </w:p>
    <w:p>
      <w:pPr>
        <w:pStyle w:val="ListParagraph"/>
        <w:numPr>
          <w:ilvl w:val="0"/>
          <w:numId w:val="2"/>
        </w:numPr>
        <w:spacing w:after="100"/>
      </w:pPr>
      <w:r>
        <w:t xml:space="preserve">Cumulative safety assessments from Stage 5</w:t>
      </w:r>
    </w:p>
    <w:p>
      <w:pPr>
        <w:pStyle w:val="ListParagraph"/>
        <w:numPr>
          <w:ilvl w:val="0"/>
          <w:numId w:val="2"/>
        </w:numPr>
        <w:spacing w:after="100"/>
      </w:pPr>
      <w:r>
        <w:t xml:space="preserve">Approved ASO designs from Stage 4</w:t>
      </w:r>
    </w:p>
    <w:p>
      <w:pPr>
        <w:pStyle w:val="ListParagraph"/>
        <w:numPr>
          <w:ilvl w:val="0"/>
          <w:numId w:val="2"/>
        </w:numPr>
        <w:spacing w:after="100"/>
      </w:pPr>
      <w:r>
        <w:t xml:space="preserve">Published combination precedents and clinical trial data</w:t>
      </w:r>
    </w:p>
    <w:p>
      <w:pPr>
        <w:spacing w:after="100"/>
      </w:pPr>
      <w:r>
        <w:rPr>
          <w:b/>
          <w:bCs/>
        </w:rPr>
        <w:t xml:space="preserve">Tools &amp; Databases Called:</w:t>
      </w:r>
    </w:p>
    <w:p>
      <w:pPr>
        <w:pStyle w:val="ListParagraph"/>
        <w:numPr>
          <w:ilvl w:val="0"/>
          <w:numId w:val="2"/>
        </w:numPr>
        <w:spacing w:after="100"/>
      </w:pPr>
      <w:r>
        <w:rPr>
          <w:b/>
          <w:bCs/>
        </w:rPr>
        <w:t xml:space="preserve">Sapphire Combination Scoring Engine: </w:t>
      </w:r>
      <w:r>
        <w:t xml:space="preserve">Integrate synergy scores, safety scores, and clinical priority to compute overall ranking score (Synergy-to-Risk Ratio)</w:t>
      </w:r>
    </w:p>
    <w:p>
      <w:pPr>
        <w:pStyle w:val="ListParagraph"/>
        <w:numPr>
          <w:ilvl w:val="0"/>
          <w:numId w:val="2"/>
        </w:numPr>
        <w:spacing w:after="100"/>
      </w:pPr>
      <w:r>
        <w:rPr>
          <w:b/>
          <w:bCs/>
        </w:rPr>
        <w:t xml:space="preserve">Quiver Confidence Scoring: </w:t>
      </w:r>
      <w:r>
        <w:t xml:space="preserve">Confidence in synergy and safety predictions based on data completeness</w:t>
      </w:r>
    </w:p>
    <w:p>
      <w:pPr>
        <w:pStyle w:val="ListParagraph"/>
        <w:numPr>
          <w:ilvl w:val="0"/>
          <w:numId w:val="2"/>
        </w:numPr>
        <w:spacing w:after="100"/>
      </w:pPr>
      <w:r>
        <w:rPr>
          <w:b/>
          <w:bCs/>
        </w:rPr>
        <w:t xml:space="preserve">ClinicalTrials.gov: </w:t>
      </w:r>
      <w:r>
        <w:t xml:space="preserve">Search for completed or ongoing combination ASO trials (precedent regimens, safety milestones, patient populations)</w:t>
      </w:r>
    </w:p>
    <w:p>
      <w:pPr>
        <w:pStyle w:val="ListParagraph"/>
        <w:numPr>
          <w:ilvl w:val="0"/>
          <w:numId w:val="2"/>
        </w:numPr>
        <w:spacing w:after="100"/>
      </w:pPr>
      <w:r>
        <w:rPr>
          <w:b/>
          <w:bCs/>
        </w:rPr>
        <w:t xml:space="preserve">Lens.org (Patent Landscape): </w:t>
      </w:r>
      <w:r>
        <w:t xml:space="preserve">Identify existing patents on combination ASO strategies; assess freedom-to-operate</w:t>
      </w:r>
    </w:p>
    <w:p>
      <w:pPr>
        <w:spacing w:after="100"/>
      </w:pPr>
      <w:r>
        <w:rPr>
          <w:b/>
          <w:bCs/>
        </w:rPr>
        <w:t xml:space="preserve">Exemplary Sub-Prompts:</w:t>
      </w:r>
    </w:p>
    <w:p>
      <w:pPr>
        <w:pStyle w:val="ListParagraph"/>
        <w:numPr>
          <w:ilvl w:val="0"/>
          <w:numId w:val="2"/>
        </w:numPr>
        <w:spacing w:after="100"/>
      </w:pPr>
      <w:r>
        <w:t xml:space="preserve">Score all candidate combinations using Sapphire engine: synergy score (0–100) × safety score (0–100) / risk score (0–100). Rank by composite score.</w:t>
      </w:r>
    </w:p>
    <w:p>
      <w:pPr>
        <w:pStyle w:val="ListParagraph"/>
        <w:numPr>
          <w:ilvl w:val="0"/>
          <w:numId w:val="2"/>
        </w:numPr>
        <w:spacing w:after="100"/>
      </w:pPr>
      <w:r>
        <w:t xml:space="preserve">For top 3 ranked combinations, identify published precedents in ClinicalTrials.gov. Extract: combination names, patient population, efficacy readouts, AE profiles.</w:t>
      </w:r>
    </w:p>
    <w:p>
      <w:pPr>
        <w:pStyle w:val="ListParagraph"/>
        <w:numPr>
          <w:ilvl w:val="0"/>
          <w:numId w:val="2"/>
        </w:numPr>
        <w:spacing w:after="100"/>
      </w:pPr>
      <w:r>
        <w:t xml:space="preserve">For each top combination, propose clinical trial design: Phase 1 (dose escalation, safety), Phase 2 (efficacy in seizure frequency/EEG), primary endpoints, secondary endpoints.</w:t>
      </w:r>
    </w:p>
    <w:p>
      <w:pPr>
        <w:spacing w:after="100"/>
      </w:pPr>
      <w:r>
        <w:rPr>
          <w:b/>
          <w:bCs/>
        </w:rPr>
        <w:t xml:space="preserve">Expected Outputs:</w:t>
      </w:r>
    </w:p>
    <w:p>
      <w:pPr>
        <w:pStyle w:val="ListParagraph"/>
        <w:numPr>
          <w:ilvl w:val="0"/>
          <w:numId w:val="2"/>
        </w:numPr>
        <w:spacing w:after="100"/>
      </w:pPr>
      <w:r>
        <w:t xml:space="preserve">Ranked list of 3–5 top combination strategies with synergy-to-risk ratios</w:t>
      </w:r>
    </w:p>
    <w:p>
      <w:pPr>
        <w:pStyle w:val="ListParagraph"/>
        <w:numPr>
          <w:ilvl w:val="0"/>
          <w:numId w:val="2"/>
        </w:numPr>
        <w:spacing w:after="100"/>
      </w:pPr>
      <w:r>
        <w:t xml:space="preserve">Detailed recommendations per combination: ASO sequences, proposed doses, dosing schedule (frequency, duration), route (IT, IV, SC)</w:t>
      </w:r>
    </w:p>
    <w:p>
      <w:pPr>
        <w:pStyle w:val="ListParagraph"/>
        <w:numPr>
          <w:ilvl w:val="0"/>
          <w:numId w:val="2"/>
        </w:numPr>
        <w:spacing w:after="100"/>
      </w:pPr>
      <w:r>
        <w:t xml:space="preserve">Clinical development pathway: preclinical IND-enabling studies (toxicology, PK, manufacturing), Phase 1/2 trial outline</w:t>
      </w:r>
    </w:p>
    <w:p>
      <w:pPr>
        <w:pStyle w:val="ListParagraph"/>
        <w:numPr>
          <w:ilvl w:val="0"/>
          <w:numId w:val="2"/>
        </w:numPr>
        <w:spacing w:after="100"/>
      </w:pPr>
      <w:r>
        <w:t xml:space="preserve">Patent landscape summary and freedom-to-operate assessment</w:t>
      </w:r>
    </w:p>
    <w:p>
      <w:pPr>
        <w:pStyle w:val="ListParagraph"/>
        <w:numPr>
          <w:ilvl w:val="0"/>
          <w:numId w:val="2"/>
        </w:numPr>
        <w:spacing w:after="100"/>
      </w:pPr>
      <w:r>
        <w:t xml:space="preserve">Key risks and mitigation strategies (e.g., off-target effects mitigation, hepatotoxicity monitoring plan)</w:t>
      </w:r>
    </w:p>
    <w:p>
      <w:pPr>
        <w:spacing w:after="200" w:line="360"/>
      </w:pPr>
      <w:r>
        <w:rPr>
          <w:b/>
          <w:bCs/>
        </w:rPr>
        <w:t xml:space="preserve">Format: </w:t>
      </w:r>
      <w:r>
        <w:t xml:space="preserve">Executive summary plus detailed strategy reports (one per top combination), including decision trees and regulatory path.</w:t>
      </w:r>
    </w:p>
    <w:p>
      <w:pPr>
        <w:pStyle w:val="Heading2"/>
        <w:spacing w:before="200" w:after="200"/>
      </w:pPr>
      <w:r>
        <w:rPr>
          <w:b/>
          <w:bCs/>
          <w:sz w:val="28"/>
          <w:szCs w:val="28"/>
        </w:rPr>
        <w:t xml:space="preserve">Tools &amp; Databases Summary</w:t>
      </w:r>
    </w:p>
    <w:p>
      <w:pPr>
        <w:pStyle w:val="ListParagraph"/>
        <w:numPr>
          <w:ilvl w:val="0"/>
          <w:numId w:val="2"/>
        </w:numPr>
        <w:spacing w:after="100"/>
      </w:pPr>
      <w:r>
        <w:t xml:space="preserve">GWAS Catalog</w:t>
      </w:r>
    </w:p>
    <w:p>
      <w:pPr>
        <w:pStyle w:val="ListParagraph"/>
        <w:numPr>
          <w:ilvl w:val="0"/>
          <w:numId w:val="2"/>
        </w:numPr>
        <w:spacing w:after="100"/>
      </w:pPr>
      <w:r>
        <w:t xml:space="preserve">ILAE Genetics Commission Gene Panel (International League Against Epilepsy)</w:t>
      </w:r>
    </w:p>
    <w:p>
      <w:pPr>
        <w:pStyle w:val="ListParagraph"/>
        <w:numPr>
          <w:ilvl w:val="0"/>
          <w:numId w:val="2"/>
        </w:numPr>
        <w:spacing w:after="100"/>
      </w:pPr>
      <w:r>
        <w:t xml:space="preserve">Quiver CRISPR EP Atlas (epilepsy phenotypes, combinatorial perturbations)</w:t>
      </w:r>
    </w:p>
    <w:p>
      <w:pPr>
        <w:pStyle w:val="ListParagraph"/>
        <w:numPr>
          <w:ilvl w:val="0"/>
          <w:numId w:val="2"/>
        </w:numPr>
        <w:spacing w:after="100"/>
      </w:pPr>
      <w:r>
        <w:t xml:space="preserve">KEGG (Kyoto Encyclopedia of Genes and Genomes)</w:t>
      </w:r>
    </w:p>
    <w:p>
      <w:pPr>
        <w:pStyle w:val="ListParagraph"/>
        <w:numPr>
          <w:ilvl w:val="0"/>
          <w:numId w:val="2"/>
        </w:numPr>
        <w:spacing w:after="100"/>
      </w:pPr>
      <w:r>
        <w:t xml:space="preserve">Reactome (pathway database)</w:t>
      </w:r>
    </w:p>
    <w:p>
      <w:pPr>
        <w:pStyle w:val="ListParagraph"/>
        <w:numPr>
          <w:ilvl w:val="0"/>
          <w:numId w:val="2"/>
        </w:numPr>
        <w:spacing w:after="100"/>
      </w:pPr>
      <w:r>
        <w:t xml:space="preserve">STRING (protein-protein interaction network)</w:t>
      </w:r>
    </w:p>
    <w:p>
      <w:pPr>
        <w:pStyle w:val="ListParagraph"/>
        <w:numPr>
          <w:ilvl w:val="0"/>
          <w:numId w:val="2"/>
        </w:numPr>
        <w:spacing w:after="100"/>
      </w:pPr>
      <w:r>
        <w:t xml:space="preserve">Gene Ontology (functional annotation)</w:t>
      </w:r>
    </w:p>
    <w:p>
      <w:pPr>
        <w:pStyle w:val="ListParagraph"/>
        <w:numPr>
          <w:ilvl w:val="0"/>
          <w:numId w:val="2"/>
        </w:numPr>
        <w:spacing w:after="100"/>
      </w:pPr>
      <w:r>
        <w:t xml:space="preserve">Quiver EP Feature Extraction (phenotype quantification)</w:t>
      </w:r>
    </w:p>
    <w:p>
      <w:pPr>
        <w:pStyle w:val="ListParagraph"/>
        <w:numPr>
          <w:ilvl w:val="0"/>
          <w:numId w:val="2"/>
        </w:numPr>
        <w:spacing w:after="100"/>
      </w:pPr>
      <w:r>
        <w:t xml:space="preserve">Bliss Independence Synergy Model</w:t>
      </w:r>
    </w:p>
    <w:p>
      <w:pPr>
        <w:pStyle w:val="ListParagraph"/>
        <w:numPr>
          <w:ilvl w:val="0"/>
          <w:numId w:val="2"/>
        </w:numPr>
        <w:spacing w:after="100"/>
      </w:pPr>
      <w:r>
        <w:t xml:space="preserve">Loewe Additivity Synergy Model</w:t>
      </w:r>
    </w:p>
    <w:p>
      <w:pPr>
        <w:pStyle w:val="ListParagraph"/>
        <w:numPr>
          <w:ilvl w:val="0"/>
          <w:numId w:val="2"/>
        </w:numPr>
        <w:spacing w:after="100"/>
      </w:pPr>
      <w:r>
        <w:t xml:space="preserve">Quiver ASO Design Module</w:t>
      </w:r>
    </w:p>
    <w:p>
      <w:pPr>
        <w:pStyle w:val="ListParagraph"/>
        <w:numPr>
          <w:ilvl w:val="0"/>
          <w:numId w:val="2"/>
        </w:numPr>
        <w:spacing w:after="100"/>
      </w:pPr>
      <w:r>
        <w:t xml:space="preserve">BLAST (NCBI sequence comparison, off-target detection)</w:t>
      </w:r>
    </w:p>
    <w:p>
      <w:pPr>
        <w:pStyle w:val="ListParagraph"/>
        <w:numPr>
          <w:ilvl w:val="0"/>
          <w:numId w:val="2"/>
        </w:numPr>
        <w:spacing w:after="100"/>
      </w:pPr>
      <w:r>
        <w:t xml:space="preserve">OligoCalc (oligonucleotide characterization: Tm, GC content)</w:t>
      </w:r>
    </w:p>
    <w:p>
      <w:pPr>
        <w:pStyle w:val="ListParagraph"/>
        <w:numPr>
          <w:ilvl w:val="0"/>
          <w:numId w:val="2"/>
        </w:numPr>
        <w:spacing w:after="100"/>
      </w:pPr>
      <w:r>
        <w:t xml:space="preserve">RNAfold (Vienna RNA Package, secondary structure prediction)</w:t>
      </w:r>
    </w:p>
    <w:p>
      <w:pPr>
        <w:pStyle w:val="ListParagraph"/>
        <w:numPr>
          <w:ilvl w:val="0"/>
          <w:numId w:val="2"/>
        </w:numPr>
        <w:spacing w:after="100"/>
      </w:pPr>
      <w:r>
        <w:t xml:space="preserve">Sapphire Combination Safety Model (hepatotoxicity, immunogenicity, off-target risk)</w:t>
      </w:r>
    </w:p>
    <w:p>
      <w:pPr>
        <w:pStyle w:val="ListParagraph"/>
        <w:numPr>
          <w:ilvl w:val="0"/>
          <w:numId w:val="2"/>
        </w:numPr>
        <w:spacing w:after="100"/>
      </w:pPr>
      <w:r>
        <w:t xml:space="preserve">Quiver EP Toxicity Atlas</w:t>
      </w:r>
    </w:p>
    <w:p>
      <w:pPr>
        <w:pStyle w:val="ListParagraph"/>
        <w:numPr>
          <w:ilvl w:val="0"/>
          <w:numId w:val="2"/>
        </w:numPr>
        <w:spacing w:after="100"/>
      </w:pPr>
      <w:r>
        <w:t xml:space="preserve">Sapphire Combination Scoring Engine</w:t>
      </w:r>
    </w:p>
    <w:p>
      <w:pPr>
        <w:pStyle w:val="ListParagraph"/>
        <w:numPr>
          <w:ilvl w:val="0"/>
          <w:numId w:val="2"/>
        </w:numPr>
        <w:spacing w:after="100"/>
      </w:pPr>
      <w:r>
        <w:t xml:space="preserve">Quiver Confidence Scoring</w:t>
      </w:r>
    </w:p>
    <w:p>
      <w:pPr>
        <w:pStyle w:val="ListParagraph"/>
        <w:numPr>
          <w:ilvl w:val="0"/>
          <w:numId w:val="2"/>
        </w:numPr>
        <w:spacing w:after="100"/>
      </w:pPr>
      <w:r>
        <w:t xml:space="preserve">ClinicalTrials.gov (published trials and regulatory precedents)</w:t>
      </w:r>
    </w:p>
    <w:p>
      <w:pPr>
        <w:pStyle w:val="ListParagraph"/>
        <w:numPr>
          <w:ilvl w:val="0"/>
          <w:numId w:val="2"/>
        </w:numPr>
        <w:spacing w:after="100"/>
      </w:pPr>
      <w:r>
        <w:t xml:space="preserve">Lens.org (patent landscape and freedom-to-operate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2026-02-19T02:52:46.522Z</dcterms:created>
  <dcterms:modified xsi:type="dcterms:W3CDTF">2026-02-19T02:52:46.522Z</dcterms:modified>
</cp:coreProperties>
</file>

<file path=docProps/custom.xml><?xml version="1.0" encoding="utf-8"?>
<Properties xmlns="http://schemas.openxmlformats.org/officeDocument/2006/custom-properties" xmlns:vt="http://schemas.openxmlformats.org/officeDocument/2006/docPropsVTypes"/>
</file>