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"Identify antisense approaches that replicate the functional phenotype of a known protective LoF human variant."</w:t>
      </w:r>
    </w:p>
    <w:p>
      <w:pPr>
        <w:pStyle w:val="Normal"/>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pStyle w:val="Normal"/>
        <w:spacing w:after="300" w:line="360"/>
      </w:pPr>
      <w:r>
        <w:t xml:space="preserve">This pipeline identifies ASO strategies that pharmacologically replicate the effect of protective loss-of-function (LoF) human variants. Protective LoF variants are nature's validation that reducing a gene's function is beneficial — ASOs can mimic this effect therapeutically. Classic examples include PCSK9 LoF variants, which protect against heart disease, and SCN9A LoF variants, which protect against pain. The pipeline consists of six sequential stages that progress from identifying the protective variant to assessing clinical translatability.</w:t>
      </w:r>
    </w:p>
    <w:p>
      <w:pPr>
        <w:pStyle w:val="Normal"/>
        <w:spacing w:after="300" w:line="360"/>
      </w:pPr>
      <w:r>
        <w:t xml:space="preserve">Each stage is designed to systematically characterize the protective LoF phenotype, determine the molecular mechanism, design an ASO to replicate that mechanism, validate the approach using functional genomics data, assess safety, and finally evaluate clinical feasibility with confidence scoring.</w:t>
      </w:r>
    </w:p>
    <w:p>
      <w:pPr>
        <w:pStyle w:val="Heading2"/>
      </w:pPr>
      <w:r>
        <w:t xml:space="preserve">Stage 1: Protective LoF Variant Identification &amp; Characterization</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Identify and comprehensively characterize the protective LoF variant(s) for the gene of interest, establishing the baseline phenotype that ASO strategies must replicate.</w:t>
      </w:r>
    </w:p>
    <w:p>
      <w:pPr>
        <w:pStyle w:val="Normal"/>
        <w:spacing w:after="100"/>
      </w:pPr>
      <w:r>
        <w:rPr>
          <w:rFonts w:ascii="Arial" w:cs="Arial" w:eastAsia="Arial" w:hAnsi="Arial"/>
          <w:b/>
          <w:bCs/>
          <w:sz w:val="24"/>
          <w:szCs w:val="24"/>
        </w:rPr>
        <w:t xml:space="preserve">Inputs:</w:t>
      </w:r>
    </w:p>
    <w:p>
      <w:pPr>
        <w:pStyle w:val="Normal"/>
        <w:spacing w:after="100"/>
      </w:pPr>
      <w:r>
        <w:t xml:space="preserve">Gene symbol or protein name</w:t>
      </w:r>
    </w:p>
    <w:p>
      <w:pPr>
        <w:pStyle w:val="Normal"/>
        <w:spacing w:after="100"/>
      </w:pPr>
      <w:r>
        <w:t xml:space="preserve">Indication or disease of interest</w:t>
      </w:r>
    </w:p>
    <w:p>
      <w:pPr>
        <w:pStyle w:val="Normal"/>
        <w:spacing w:after="100"/>
      </w:pPr>
      <w:r>
        <w:t xml:space="preserve">Known protective variant (if pre-identified)</w:t>
      </w:r>
    </w:p>
    <w:p>
      <w:pPr>
        <w:pStyle w:val="Normal"/>
        <w:spacing w:after="100"/>
      </w:pPr>
      <w:r>
        <w:t xml:space="preserve">Target patient population</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gnomAD (LoF variants, carrier phenotypes)</w:t>
      </w:r>
    </w:p>
    <w:p>
      <w:pPr>
        <w:pStyle w:val="Normal"/>
        <w:spacing w:after="100"/>
      </w:pPr>
      <w:r>
        <w:t xml:space="preserve">ClinVar (variant classification and clinical significance)</w:t>
      </w:r>
    </w:p>
    <w:p>
      <w:pPr>
        <w:pStyle w:val="Normal"/>
        <w:spacing w:after="100"/>
      </w:pPr>
      <w:r>
        <w:t xml:space="preserve">UK Biobank (phenotype-genotype associations)</w:t>
      </w:r>
    </w:p>
    <w:p>
      <w:pPr>
        <w:pStyle w:val="Normal"/>
        <w:spacing w:after="100"/>
      </w:pPr>
      <w:r>
        <w:t xml:space="preserve">OMIM (gene summary and LoF tolerance)</w:t>
      </w:r>
    </w:p>
    <w:p>
      <w:pPr>
        <w:pStyle w:val="Normal"/>
        <w:spacing w:after="100"/>
      </w:pPr>
      <w:r>
        <w:t xml:space="preserve">PubMed (published protective variant studies)</w:t>
      </w:r>
    </w:p>
    <w:p>
      <w:pPr>
        <w:pStyle w:val="Normal"/>
        <w:spacing w:after="100"/>
      </w:pPr>
      <w:r>
        <w:t xml:space="preserve">Open Targets Genetics (human genetic evidence)</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"Find all loss-of-function variants in [gene] from gnomAD that are present in more than 100 carriers."</w:t>
      </w:r>
    </w:p>
    <w:p>
      <w:pPr>
        <w:pStyle w:val="Normal"/>
        <w:spacing w:after="100"/>
      </w:pPr>
      <w:r>
        <w:t xml:space="preserve">"Identify which carriers of [gene] LoF variants show protective phenotypes for [disease] in UK Biobank."</w:t>
      </w:r>
    </w:p>
    <w:p>
      <w:pPr>
        <w:pStyle w:val="Normal"/>
        <w:spacing w:after="100"/>
      </w:pPr>
      <w:r>
        <w:t xml:space="preserve">"Summarize the allele frequency, carrier health outcomes, and functional impact of protective LoF variants in [gene]."</w:t>
      </w:r>
    </w:p>
    <w:p>
      <w:pPr>
        <w:pStyle w:val="Normal"/>
        <w:spacing w:after="100"/>
      </w:pPr>
      <w:r>
        <w:rPr>
          <w:rFonts w:ascii="Arial" w:cs="Arial" w:eastAsia="Arial" w:hAnsi="Arial"/>
          <w:b/>
          <w:bCs/>
          <w:sz w:val="24"/>
          <w:szCs w:val="24"/>
        </w:rPr>
        <w:t xml:space="preserve">Expected Outputs:</w:t>
      </w:r>
    </w:p>
    <w:p>
      <w:pPr>
        <w:pStyle w:val="Normal"/>
        <w:spacing w:after="100"/>
      </w:pPr>
      <w:r>
        <w:t xml:space="preserve">Identified protective LoF variant(s) with rsID, position, and allele frequency</w:t>
      </w:r>
    </w:p>
    <w:p>
      <w:pPr>
        <w:pStyle w:val="Normal"/>
        <w:spacing w:after="100"/>
      </w:pPr>
      <w:r>
        <w:t xml:space="preserve">Allele frequency and population stratification</w:t>
      </w:r>
    </w:p>
    <w:p>
      <w:pPr>
        <w:pStyle w:val="Normal"/>
        <w:spacing w:after="100"/>
      </w:pPr>
      <w:r>
        <w:t xml:space="preserve">Carrier phenotype summary (health benefits and adverse effects)</w:t>
      </w:r>
    </w:p>
    <w:p>
      <w:pPr>
        <w:pStyle w:val="Normal"/>
        <w:spacing w:after="100"/>
      </w:pPr>
      <w:r>
        <w:t xml:space="preserve">Degree of loss-of-function (complete, partial, isoform-specific)</w:t>
      </w:r>
    </w:p>
    <w:p>
      <w:pPr>
        <w:pStyle w:val="Normal"/>
        <w:spacing w:after="100"/>
      </w:pPr>
      <w:r>
        <w:t xml:space="preserve">Published evidence supporting protective effect</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Structured table with variant details, allele frequencies, carrier counts, and phenotype associations; narrative summary of protective effect.</w:t>
      </w:r>
    </w:p>
    <w:p>
      <w:pPr>
        <w:pStyle w:val="Heading2"/>
      </w:pPr>
      <w:r>
        <w:t xml:space="preserve">Stage 2: Functional Consequence Mapping</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Determine the precise molecular mechanism by which the protective LoF variant confers protection, establishing the exact functional phenotype the ASO must replicate.</w:t>
      </w:r>
    </w:p>
    <w:p>
      <w:pPr>
        <w:pStyle w:val="Normal"/>
        <w:spacing w:after="100"/>
      </w:pPr>
      <w:r>
        <w:rPr>
          <w:rFonts w:ascii="Arial" w:cs="Arial" w:eastAsia="Arial" w:hAnsi="Arial"/>
          <w:b/>
          <w:bCs/>
          <w:sz w:val="24"/>
          <w:szCs w:val="24"/>
        </w:rPr>
        <w:t xml:space="preserve">Inputs:</w:t>
      </w:r>
    </w:p>
    <w:p>
      <w:pPr>
        <w:pStyle w:val="Normal"/>
        <w:spacing w:after="100"/>
      </w:pPr>
      <w:r>
        <w:t xml:space="preserve">Protective variant(s) identified in Stage 1</w:t>
      </w:r>
    </w:p>
    <w:p>
      <w:pPr>
        <w:pStyle w:val="Normal"/>
        <w:spacing w:after="100"/>
      </w:pPr>
      <w:r>
        <w:t xml:space="preserve">Gene annotation and transcript models</w:t>
      </w:r>
    </w:p>
    <w:p>
      <w:pPr>
        <w:pStyle w:val="Normal"/>
        <w:spacing w:after="100"/>
      </w:pPr>
      <w:r>
        <w:t xml:space="preserve">Available perturbation data for the gene</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Ensembl VEP (variant consequence prediction)</w:t>
      </w:r>
    </w:p>
    <w:p>
      <w:pPr>
        <w:pStyle w:val="Normal"/>
        <w:spacing w:after="100"/>
      </w:pPr>
      <w:r>
        <w:t xml:space="preserve">UniProt (protein structure and impact)</w:t>
      </w:r>
    </w:p>
    <w:p>
      <w:pPr>
        <w:pStyle w:val="Normal"/>
        <w:spacing w:after="100"/>
      </w:pPr>
      <w:r>
        <w:t xml:space="preserve">NCBI RefSeq (transcript annotation)</w:t>
      </w:r>
    </w:p>
    <w:p>
      <w:pPr>
        <w:pStyle w:val="Normal"/>
        <w:spacing w:after="100"/>
      </w:pPr>
      <w:r>
        <w:t xml:space="preserve">NMD prediction tools (nonsense-mediated decay prediction)</w:t>
      </w:r>
    </w:p>
    <w:p>
      <w:pPr>
        <w:pStyle w:val="Normal"/>
        <w:spacing w:after="100"/>
      </w:pPr>
      <w:r>
        <w:t xml:space="preserve">Quiver EP data (gene perturbation phenotypes, if available)</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"What is the molecular consequence of [variant] in [gene]? Does it trigger NMD, produce a truncated protein, or cause exon skipping?"</w:t>
      </w:r>
    </w:p>
    <w:p>
      <w:pPr>
        <w:pStyle w:val="Normal"/>
        <w:spacing w:after="100"/>
      </w:pPr>
      <w:r>
        <w:t xml:space="preserve">"Compare the protein structure impact of [variant] to wild-type using UniProt annotations."</w:t>
      </w:r>
    </w:p>
    <w:p>
      <w:pPr>
        <w:pStyle w:val="Normal"/>
        <w:spacing w:after="100"/>
      </w:pPr>
      <w:r>
        <w:t xml:space="preserve">"Does [gene] LoF result in complete transcript degradation or partial expression reduction?"</w:t>
      </w:r>
    </w:p>
    <w:p>
      <w:pPr>
        <w:pStyle w:val="Normal"/>
        <w:spacing w:after="100"/>
      </w:pPr>
      <w:r>
        <w:rPr>
          <w:rFonts w:ascii="Arial" w:cs="Arial" w:eastAsia="Arial" w:hAnsi="Arial"/>
          <w:b/>
          <w:bCs/>
          <w:sz w:val="24"/>
          <w:szCs w:val="24"/>
        </w:rPr>
        <w:t xml:space="preserve">Expected Outputs:</w:t>
      </w:r>
    </w:p>
    <w:p>
      <w:pPr>
        <w:pStyle w:val="Normal"/>
        <w:spacing w:after="100"/>
      </w:pPr>
      <w:r>
        <w:t xml:space="preserve">Consequence classification (frameshift, stop codon, splice site, etc.)</w:t>
      </w:r>
    </w:p>
    <w:p>
      <w:pPr>
        <w:pStyle w:val="Normal"/>
        <w:spacing w:after="100"/>
      </w:pPr>
      <w:r>
        <w:t xml:space="preserve">Transcript(s) affected (all isoforms vs. specific isoforms)</w:t>
      </w:r>
    </w:p>
    <w:p>
      <w:pPr>
        <w:pStyle w:val="Normal"/>
        <w:spacing w:after="100"/>
      </w:pPr>
      <w:r>
        <w:t xml:space="preserve">Degree of knockdown in carriers (complete vs. partial)</w:t>
      </w:r>
    </w:p>
    <w:p>
      <w:pPr>
        <w:pStyle w:val="Normal"/>
        <w:spacing w:after="100"/>
      </w:pPr>
      <w:r>
        <w:t xml:space="preserve">Mechanism of loss (NMD, truncation, reduced expression, dominant-negative)</w:t>
      </w:r>
    </w:p>
    <w:p>
      <w:pPr>
        <w:pStyle w:val="Normal"/>
        <w:spacing w:after="100"/>
      </w:pPr>
      <w:r>
        <w:t xml:space="preserve">Protein-level consequence (if applicable)</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Structural annotation table; mechanism summary; comparison of expected expression levels in variant carriers.</w:t>
      </w:r>
    </w:p>
    <w:p>
      <w:pPr>
        <w:pStyle w:val="Heading2"/>
      </w:pPr>
      <w:r>
        <w:t xml:space="preserve">Stage 3: ASO Strategy Design to Replicate LoF Effect</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Design one or more ASO approaches that pharmacologically replicate the protective variant's mechanism of action.</w:t>
      </w:r>
    </w:p>
    <w:p>
      <w:pPr>
        <w:pStyle w:val="Normal"/>
        <w:spacing w:after="100"/>
      </w:pPr>
      <w:r>
        <w:rPr>
          <w:rFonts w:ascii="Arial" w:cs="Arial" w:eastAsia="Arial" w:hAnsi="Arial"/>
          <w:b/>
          <w:bCs/>
          <w:sz w:val="24"/>
          <w:szCs w:val="24"/>
        </w:rPr>
        <w:t xml:space="preserve">Inputs:</w:t>
      </w:r>
    </w:p>
    <w:p>
      <w:pPr>
        <w:pStyle w:val="Normal"/>
        <w:spacing w:after="100"/>
      </w:pPr>
      <w:r>
        <w:t xml:space="preserve">Molecular mechanism from Stage 2</w:t>
      </w:r>
    </w:p>
    <w:p>
      <w:pPr>
        <w:pStyle w:val="Normal"/>
        <w:spacing w:after="100"/>
      </w:pPr>
      <w:r>
        <w:t xml:space="preserve">Degree of knockdown required to match variant effect</w:t>
      </w:r>
    </w:p>
    <w:p>
      <w:pPr>
        <w:pStyle w:val="Normal"/>
        <w:spacing w:after="100"/>
      </w:pPr>
      <w:r>
        <w:t xml:space="preserve">Target transcript(s) and exon structure</w:t>
      </w:r>
    </w:p>
    <w:p>
      <w:pPr>
        <w:pStyle w:val="Normal"/>
        <w:spacing w:after="100"/>
      </w:pPr>
      <w:r>
        <w:t xml:space="preserve">Gene sequence and secondary structure</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Quiver ASO Design Module (ASO design and scoring)</w:t>
      </w:r>
    </w:p>
    <w:p>
      <w:pPr>
        <w:pStyle w:val="Normal"/>
        <w:spacing w:after="100"/>
      </w:pPr>
      <w:r>
        <w:t xml:space="preserve">Ensembl transcript annotation (exon boundaries)</w:t>
      </w:r>
    </w:p>
    <w:p>
      <w:pPr>
        <w:pStyle w:val="Normal"/>
        <w:spacing w:after="100"/>
      </w:pPr>
      <w:r>
        <w:t xml:space="preserve">RNAfold (RNA secondary structure and accessibility)</w:t>
      </w:r>
    </w:p>
    <w:p>
      <w:pPr>
        <w:pStyle w:val="Normal"/>
        <w:spacing w:after="100"/>
      </w:pPr>
      <w:r>
        <w:t xml:space="preserve">Published ASO-mediated phenocopy literature (precedent designs)</w:t>
      </w:r>
    </w:p>
    <w:p>
      <w:pPr>
        <w:pStyle w:val="Normal"/>
        <w:spacing w:after="100"/>
      </w:pPr>
      <w:r>
        <w:t xml:space="preserve">Sapphire Dose-Response Model (knockdown calibration)</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"Design a splice-switching ASO to exon-skip [exon] in [gene], replicating the protective LoF phenotype."</w:t>
      </w:r>
    </w:p>
    <w:p>
      <w:pPr>
        <w:pStyle w:val="Normal"/>
        <w:spacing w:after="100"/>
      </w:pPr>
      <w:r>
        <w:t xml:space="preserve">"Design RNase H-mediated gapmer ASOs targeting [gene] to achieve 80% expression reduction, matching the carrier phenotype."</w:t>
      </w:r>
    </w:p>
    <w:p>
      <w:pPr>
        <w:pStyle w:val="Normal"/>
        <w:spacing w:after="100"/>
      </w:pPr>
      <w:r>
        <w:t xml:space="preserve">"Which ASO design strategy (gapmer, steric blocker, splice-switching) best matches the mechanism of [variant]?"</w:t>
      </w:r>
    </w:p>
    <w:p>
      <w:pPr>
        <w:pStyle w:val="Normal"/>
        <w:spacing w:after="100"/>
      </w:pPr>
      <w:r>
        <w:rPr>
          <w:rFonts w:ascii="Arial" w:cs="Arial" w:eastAsia="Arial" w:hAnsi="Arial"/>
          <w:b/>
          <w:bCs/>
          <w:sz w:val="24"/>
          <w:szCs w:val="24"/>
        </w:rPr>
        <w:t xml:space="preserve">Expected Outputs:</w:t>
      </w:r>
    </w:p>
    <w:p>
      <w:pPr>
        <w:pStyle w:val="Normal"/>
        <w:spacing w:after="100"/>
      </w:pPr>
      <w:r>
        <w:t xml:space="preserve">ASO sequence(s) and chemistry (gapmer, steric blocker, splice-switching)</w:t>
      </w:r>
    </w:p>
    <w:p>
      <w:pPr>
        <w:pStyle w:val="Normal"/>
        <w:spacing w:after="100"/>
      </w:pPr>
      <w:r>
        <w:t xml:space="preserve">Target transcript and modification site(s)</w:t>
      </w:r>
    </w:p>
    <w:p>
      <w:pPr>
        <w:pStyle w:val="Normal"/>
        <w:spacing w:after="100"/>
      </w:pPr>
      <w:r>
        <w:t xml:space="preserve">Predicted knockdown efficiency and dose-response</w:t>
      </w:r>
    </w:p>
    <w:p>
      <w:pPr>
        <w:pStyle w:val="Normal"/>
        <w:spacing w:after="100"/>
      </w:pPr>
      <w:r>
        <w:t xml:space="preserve">Comparison of ASO mechanism to variant mechanism</w:t>
      </w:r>
    </w:p>
    <w:p>
      <w:pPr>
        <w:pStyle w:val="Normal"/>
        <w:spacing w:after="100"/>
      </w:pPr>
      <w:r>
        <w:t xml:space="preserve">Off-target risk assessment (secondary targets)</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ASO design specifications with sequence, chemistry, predicted knockdown levels, and mechanism rationale.</w:t>
      </w:r>
    </w:p>
    <w:p>
      <w:pPr>
        <w:pStyle w:val="Heading2"/>
      </w:pPr>
      <w:r>
        <w:t xml:space="preserve">Stage 4: Phenotype Confirmation via Quiver EP Data</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Validate that ASO-mediated gene modulation produces the expected protective phenotype using functional genomics data.</w:t>
      </w:r>
    </w:p>
    <w:p>
      <w:pPr>
        <w:pStyle w:val="Normal"/>
        <w:spacing w:after="100"/>
      </w:pPr>
      <w:r>
        <w:rPr>
          <w:rFonts w:ascii="Arial" w:cs="Arial" w:eastAsia="Arial" w:hAnsi="Arial"/>
          <w:b/>
          <w:bCs/>
          <w:sz w:val="24"/>
          <w:szCs w:val="24"/>
        </w:rPr>
        <w:t xml:space="preserve">Inputs:</w:t>
      </w:r>
    </w:p>
    <w:p>
      <w:pPr>
        <w:pStyle w:val="Normal"/>
        <w:spacing w:after="100"/>
      </w:pPr>
      <w:r>
        <w:t xml:space="preserve">ASO design(s) from Stage 3</w:t>
      </w:r>
    </w:p>
    <w:p>
      <w:pPr>
        <w:pStyle w:val="Normal"/>
        <w:spacing w:after="100"/>
      </w:pPr>
      <w:r>
        <w:t xml:space="preserve">Protective phenotype from Stage 1</w:t>
      </w:r>
    </w:p>
    <w:p>
      <w:pPr>
        <w:pStyle w:val="Normal"/>
        <w:spacing w:after="100"/>
      </w:pPr>
      <w:r>
        <w:t xml:space="preserve">Molecular mechanism from Stage 2</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Quiver CRISPR EP Atlas (CRISPR LoF phenotype signatures)</w:t>
      </w:r>
    </w:p>
    <w:p>
      <w:pPr>
        <w:pStyle w:val="Normal"/>
        <w:spacing w:after="100"/>
      </w:pPr>
      <w:r>
        <w:t xml:space="preserve">Quiver EP phenotype comparison module</w:t>
      </w:r>
    </w:p>
    <w:p>
      <w:pPr>
        <w:pStyle w:val="Normal"/>
        <w:spacing w:after="100"/>
      </w:pPr>
      <w:r>
        <w:t xml:space="preserve">Quiver dose-response module (partial vs. complete knockdown effects)</w:t>
      </w:r>
    </w:p>
    <w:p>
      <w:pPr>
        <w:pStyle w:val="Normal"/>
        <w:spacing w:after="100"/>
      </w:pPr>
      <w:r>
        <w:t xml:space="preserve">EP signature correlation analysis</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"Compare the CRISPR LoF phenotype of [gene] to the protective variant phenotype in Quiver EP Atlas."</w:t>
      </w:r>
    </w:p>
    <w:p>
      <w:pPr>
        <w:pStyle w:val="Normal"/>
        <w:spacing w:after="100"/>
      </w:pPr>
      <w:r>
        <w:t xml:space="preserve">"What phenotypic signatures does 80% knockdown of [gene] produce? Does it match the variant carrier phenotype?"</w:t>
      </w:r>
    </w:p>
    <w:p>
      <w:pPr>
        <w:pStyle w:val="Normal"/>
        <w:spacing w:after="100"/>
      </w:pPr>
      <w:r>
        <w:t xml:space="preserve">"Assess whether partial (50%) vs. complete (90%) knockdown of [gene] better matches the protective LoF phenotype."</w:t>
      </w:r>
    </w:p>
    <w:p>
      <w:pPr>
        <w:pStyle w:val="Normal"/>
        <w:spacing w:after="100"/>
      </w:pPr>
      <w:r>
        <w:rPr>
          <w:rFonts w:ascii="Arial" w:cs="Arial" w:eastAsia="Arial" w:hAnsi="Arial"/>
          <w:b/>
          <w:bCs/>
          <w:sz w:val="24"/>
          <w:szCs w:val="24"/>
        </w:rPr>
        <w:t xml:space="preserve">Expected Outputs:</w:t>
      </w:r>
    </w:p>
    <w:p>
      <w:pPr>
        <w:pStyle w:val="Normal"/>
        <w:spacing w:after="100"/>
      </w:pPr>
      <w:r>
        <w:t xml:space="preserve">Quiver EP phenotype signature for CRISPR LoF of [gene]</w:t>
      </w:r>
    </w:p>
    <w:p>
      <w:pPr>
        <w:pStyle w:val="Normal"/>
        <w:spacing w:after="100"/>
      </w:pPr>
      <w:r>
        <w:t xml:space="preserve">Comparison of CRISPR signature to variant carrier phenotype</w:t>
      </w:r>
    </w:p>
    <w:p>
      <w:pPr>
        <w:pStyle w:val="Normal"/>
        <w:spacing w:after="100"/>
      </w:pPr>
      <w:r>
        <w:t xml:space="preserve">Dose-response phenotype relationship (knockdown level vs. protective effect)</w:t>
      </w:r>
    </w:p>
    <w:p>
      <w:pPr>
        <w:pStyle w:val="Normal"/>
        <w:spacing w:after="100"/>
      </w:pPr>
      <w:r>
        <w:t xml:space="preserve">Confidence assessment that ASO approach will replicate phenotype</w:t>
      </w:r>
    </w:p>
    <w:p>
      <w:pPr>
        <w:pStyle w:val="Normal"/>
        <w:spacing w:after="100"/>
      </w:pPr>
      <w:r>
        <w:t xml:space="preserve">Identification of critical phenotypic features to monitor</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Phenotype comparison matrix; dose-response curves; confidence scoring; validation summary.</w:t>
      </w:r>
    </w:p>
    <w:p>
      <w:pPr>
        <w:pStyle w:val="Heading2"/>
      </w:pPr>
      <w:r>
        <w:t xml:space="preserve">Stage 5: Safety &amp; Therapeutic Window Assessment</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Comprehensively assess the safety profile of replicating the protective LoF phenotype and identify the therapeutic window.</w:t>
      </w:r>
    </w:p>
    <w:p>
      <w:pPr>
        <w:pStyle w:val="Normal"/>
        <w:spacing w:after="100"/>
      </w:pPr>
      <w:r>
        <w:rPr>
          <w:rFonts w:ascii="Arial" w:cs="Arial" w:eastAsia="Arial" w:hAnsi="Arial"/>
          <w:b/>
          <w:bCs/>
          <w:sz w:val="24"/>
          <w:szCs w:val="24"/>
        </w:rPr>
        <w:t xml:space="preserve">Inputs:</w:t>
      </w:r>
    </w:p>
    <w:p>
      <w:pPr>
        <w:pStyle w:val="Normal"/>
        <w:spacing w:after="100"/>
      </w:pPr>
      <w:r>
        <w:t xml:space="preserve">Protective phenotype and degree of knockdown from Stages 1-2</w:t>
      </w:r>
    </w:p>
    <w:p>
      <w:pPr>
        <w:pStyle w:val="Normal"/>
        <w:spacing w:after="100"/>
      </w:pPr>
      <w:r>
        <w:t xml:space="preserve">ASO design(s) from Stage 3</w:t>
      </w:r>
    </w:p>
    <w:p>
      <w:pPr>
        <w:pStyle w:val="Normal"/>
        <w:spacing w:after="100"/>
      </w:pPr>
      <w:r>
        <w:t xml:space="preserve">Carrier health data from Stage 1</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gnomAD (homozygous LoF carriers and health outcomes)</w:t>
      </w:r>
    </w:p>
    <w:p>
      <w:pPr>
        <w:pStyle w:val="Normal"/>
        <w:spacing w:after="100"/>
      </w:pPr>
      <w:r>
        <w:t xml:space="preserve">BLAST / Bowtie2 (off-target sequence similarity)</w:t>
      </w:r>
    </w:p>
    <w:p>
      <w:pPr>
        <w:pStyle w:val="Normal"/>
        <w:spacing w:after="100"/>
      </w:pPr>
      <w:r>
        <w:t xml:space="preserve">DepMap (essential gene analysis)</w:t>
      </w:r>
    </w:p>
    <w:p>
      <w:pPr>
        <w:pStyle w:val="Normal"/>
        <w:spacing w:after="100"/>
      </w:pPr>
      <w:r>
        <w:t xml:space="preserve">Quiver EP Toxicity Atlas (adverse phenotypes from gene perturbation)</w:t>
      </w:r>
    </w:p>
    <w:p>
      <w:pPr>
        <w:pStyle w:val="Normal"/>
        <w:spacing w:after="100"/>
      </w:pPr>
      <w:r>
        <w:t xml:space="preserve">Published carrier health outcome studies (PubMed)</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"Are there any reported adverse effects in homozygous [gene] LoF carriers in gnomAD? What is the carrier health outcome?"</w:t>
      </w:r>
    </w:p>
    <w:p>
      <w:pPr>
        <w:pStyle w:val="Normal"/>
        <w:spacing w:after="100"/>
      </w:pPr>
      <w:r>
        <w:t xml:space="preserve">"Does [gene] appear essential in DepMap? Are there any cell types where complete knockdown is toxic?"</w:t>
      </w:r>
    </w:p>
    <w:p>
      <w:pPr>
        <w:pStyle w:val="Normal"/>
        <w:spacing w:after="100"/>
      </w:pPr>
      <w:r>
        <w:t xml:space="preserve">"What off-targets might the designed ASO hit? Do those off-targets have safety implications?"</w:t>
      </w:r>
    </w:p>
    <w:p>
      <w:pPr>
        <w:pStyle w:val="Normal"/>
        <w:spacing w:after="100"/>
      </w:pPr>
      <w:r>
        <w:rPr>
          <w:rFonts w:ascii="Arial" w:cs="Arial" w:eastAsia="Arial" w:hAnsi="Arial"/>
          <w:b/>
          <w:bCs/>
          <w:sz w:val="24"/>
          <w:szCs w:val="24"/>
        </w:rPr>
        <w:t xml:space="preserve">Expected Outputs:</w:t>
      </w:r>
    </w:p>
    <w:p>
      <w:pPr>
        <w:pStyle w:val="Normal"/>
        <w:spacing w:after="100"/>
      </w:pPr>
      <w:r>
        <w:t xml:space="preserve">Safety profile of complete vs. partial knockdown</w:t>
      </w:r>
    </w:p>
    <w:p>
      <w:pPr>
        <w:pStyle w:val="Normal"/>
        <w:spacing w:after="100"/>
      </w:pPr>
      <w:r>
        <w:t xml:space="preserve">Adverse effects observed in homozygous LoF carriers (if any)</w:t>
      </w:r>
    </w:p>
    <w:p>
      <w:pPr>
        <w:pStyle w:val="Normal"/>
        <w:spacing w:after="100"/>
      </w:pPr>
      <w:r>
        <w:t xml:space="preserve">Tissue and cell-type-specific safety considerations</w:t>
      </w:r>
    </w:p>
    <w:p>
      <w:pPr>
        <w:pStyle w:val="Normal"/>
        <w:spacing w:after="100"/>
      </w:pPr>
      <w:r>
        <w:t xml:space="preserve">Off-target risk assessment and mitigation strategies</w:t>
      </w:r>
    </w:p>
    <w:p>
      <w:pPr>
        <w:pStyle w:val="Normal"/>
        <w:spacing w:after="100"/>
      </w:pPr>
      <w:r>
        <w:t xml:space="preserve">Therapeutic window (range of knockdown levels tolerated in healthy individuals)</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Safety assessment matrix; homozygous carrier health summary; off-target analysis; therapeutic window definition.</w:t>
      </w:r>
    </w:p>
    <w:p>
      <w:pPr>
        <w:pStyle w:val="Heading2"/>
      </w:pPr>
      <w:r>
        <w:t xml:space="preserve">Stage 6: Clinical Translation &amp; Confidence Assessment</w:t>
      </w:r>
    </w:p>
    <w:p>
      <w:pPr>
        <w:pStyle w:val="Normal"/>
        <w:spacing w:after="20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Assess clinical feasibility and translatability of the ASO strategy, assign confidence scores, and recommend next steps.</w:t>
      </w:r>
    </w:p>
    <w:p>
      <w:pPr>
        <w:pStyle w:val="Normal"/>
        <w:spacing w:after="100"/>
      </w:pPr>
      <w:r>
        <w:rPr>
          <w:rFonts w:ascii="Arial" w:cs="Arial" w:eastAsia="Arial" w:hAnsi="Arial"/>
          <w:b/>
          <w:bCs/>
          <w:sz w:val="24"/>
          <w:szCs w:val="24"/>
        </w:rPr>
        <w:t xml:space="preserve">Inputs:</w:t>
      </w:r>
    </w:p>
    <w:p>
      <w:pPr>
        <w:pStyle w:val="Normal"/>
        <w:spacing w:after="100"/>
      </w:pPr>
      <w:r>
        <w:t xml:space="preserve">Complete analysis from Stages 1-5</w:t>
      </w:r>
    </w:p>
    <w:p>
      <w:pPr>
        <w:pStyle w:val="Normal"/>
        <w:spacing w:after="100"/>
      </w:pPr>
      <w:r>
        <w:t xml:space="preserve">Disease indication and target patient population</w:t>
      </w:r>
    </w:p>
    <w:p>
      <w:pPr>
        <w:pStyle w:val="Normal"/>
        <w:spacing w:after="100"/>
      </w:pPr>
      <w:r>
        <w:t xml:space="preserve">Competitive landscape for the target</w:t>
      </w:r>
    </w:p>
    <w:p>
      <w:pPr>
        <w:pStyle w:val="Normal"/>
        <w:spacing w:after="100"/>
      </w:pPr>
      <w:r>
        <w:rPr>
          <w:rFonts w:ascii="Arial" w:cs="Arial" w:eastAsia="Arial" w:hAnsi="Arial"/>
          <w:b/>
          <w:bCs/>
          <w:sz w:val="24"/>
          <w:szCs w:val="24"/>
        </w:rPr>
        <w:t xml:space="preserve">Tools &amp; Databases Called:</w:t>
      </w:r>
    </w:p>
    <w:p>
      <w:pPr>
        <w:pStyle w:val="Normal"/>
        <w:spacing w:after="100"/>
      </w:pPr>
      <w:r>
        <w:t xml:space="preserve">ClinicalTrials.gov (ongoing trials, patient populations)</w:t>
      </w:r>
    </w:p>
    <w:p>
      <w:pPr>
        <w:pStyle w:val="Normal"/>
        <w:spacing w:after="100"/>
      </w:pPr>
      <w:r>
        <w:t xml:space="preserve">Lens.org (patent landscape and exclusivity)</w:t>
      </w:r>
    </w:p>
    <w:p>
      <w:pPr>
        <w:pStyle w:val="Normal"/>
        <w:spacing w:after="100"/>
      </w:pPr>
      <w:r>
        <w:t xml:space="preserve">DrugBank (existing modulators and clinical stage)</w:t>
      </w:r>
    </w:p>
    <w:p>
      <w:pPr>
        <w:pStyle w:val="Normal"/>
        <w:spacing w:after="100"/>
      </w:pPr>
      <w:r>
        <w:t xml:space="preserve">Sapphire Confidence Scoring module</w:t>
      </w:r>
    </w:p>
    <w:p>
      <w:pPr>
        <w:pStyle w:val="Normal"/>
        <w:spacing w:after="100"/>
      </w:pPr>
      <w:r>
        <w:t xml:space="preserve">Quiver validation recommendations</w:t>
      </w:r>
    </w:p>
    <w:p>
      <w:pPr>
        <w:pStyle w:val="Normal"/>
        <w:spacing w:after="100"/>
      </w:pPr>
      <w:r>
        <w:rPr>
          <w:rFonts w:ascii="Arial" w:cs="Arial" w:eastAsia="Arial" w:hAnsi="Arial"/>
          <w:b/>
          <w:bCs/>
          <w:sz w:val="24"/>
          <w:szCs w:val="24"/>
        </w:rPr>
        <w:t xml:space="preserve">Exemplary Sub-Prompts:</w:t>
      </w:r>
    </w:p>
    <w:p>
      <w:pPr>
        <w:pStyle w:val="Normal"/>
        <w:spacing w:after="100"/>
      </w:pPr>
      <w:r>
        <w:t xml:space="preserve">"Are there ongoing clinical trials for [gene] modulation in [indication]? What is the patient population size?"</w:t>
      </w:r>
    </w:p>
    <w:p>
      <w:pPr>
        <w:pStyle w:val="Normal"/>
        <w:spacing w:after="100"/>
      </w:pPr>
      <w:r>
        <w:t xml:space="preserve">"Assess the patent landscape for ASO approaches targeting [gene]. What exclusivity period is available?"</w:t>
      </w:r>
    </w:p>
    <w:p>
      <w:pPr>
        <w:pStyle w:val="Normal"/>
        <w:spacing w:after="100"/>
      </w:pPr>
      <w:r>
        <w:t xml:space="preserve">"What is the regulatory pathway for an ASO drug targeting [gene] for [indication]? What are the approval precedents?"</w:t>
      </w:r>
    </w:p>
    <w:p>
      <w:pPr>
        <w:pStyle w:val="Normal"/>
        <w:spacing w:after="100"/>
      </w:pPr>
      <w:r>
        <w:rPr>
          <w:rFonts w:ascii="Arial" w:cs="Arial" w:eastAsia="Arial" w:hAnsi="Arial"/>
          <w:b/>
          <w:bCs/>
          <w:sz w:val="24"/>
          <w:szCs w:val="24"/>
        </w:rPr>
        <w:t xml:space="preserve">Expected Outputs:</w:t>
      </w:r>
    </w:p>
    <w:p>
      <w:pPr>
        <w:pStyle w:val="Normal"/>
        <w:spacing w:after="100"/>
      </w:pPr>
      <w:r>
        <w:t xml:space="preserve">Patient population size and accessibility</w:t>
      </w:r>
    </w:p>
    <w:p>
      <w:pPr>
        <w:pStyle w:val="Normal"/>
        <w:spacing w:after="100"/>
      </w:pPr>
      <w:r>
        <w:t xml:space="preserve">Biomarker strategy for patient stratification and treatment monitoring</w:t>
      </w:r>
    </w:p>
    <w:p>
      <w:pPr>
        <w:pStyle w:val="Normal"/>
        <w:spacing w:after="100"/>
      </w:pPr>
      <w:r>
        <w:t xml:space="preserve">Competitive landscape summary (similar approaches, market size)</w:t>
      </w:r>
    </w:p>
    <w:p>
      <w:pPr>
        <w:pStyle w:val="Normal"/>
        <w:spacing w:after="100"/>
      </w:pPr>
      <w:r>
        <w:t xml:space="preserve">Regulatory pathway recommendation</w:t>
      </w:r>
    </w:p>
    <w:p>
      <w:pPr>
        <w:pStyle w:val="Normal"/>
        <w:spacing w:after="100"/>
      </w:pPr>
      <w:r>
        <w:t xml:space="preserve">Confidence score (overall, variant validation, mechanism, phenotype replication, safety, clinical translatability)</w:t>
      </w:r>
    </w:p>
    <w:p>
      <w:pPr>
        <w:pStyle w:val="Normal"/>
        <w:spacing w:after="100"/>
      </w:pPr>
      <w:r>
        <w:t xml:space="preserve">Recommended next steps and critical milestones</w:t>
      </w:r>
    </w:p>
    <w:p>
      <w:pPr>
        <w:pStyle w:val="Normal"/>
        <w:spacing w:after="20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Confidence score card; clinical translatiability summary; competitive analysis; regulatory pathway recommendation; risk-benefit assessment.</w:t>
      </w:r>
    </w:p>
    <w:p>
      <w:pPr>
        <w:pStyle w:val="Heading2"/>
      </w:pPr>
      <w:r>
        <w:t xml:space="preserve">Tools &amp; Databases Summary</w:t>
      </w:r>
    </w:p>
    <w:p>
      <w:pPr>
        <w:pStyle w:val="Normal"/>
        <w:spacing w:after="100"/>
      </w:pPr>
      <w:r>
        <w:t xml:space="preserve">gnomAD — population variant database, LoF frequencies, carrier phenotypes</w:t>
      </w:r>
    </w:p>
    <w:p>
      <w:pPr>
        <w:pStyle w:val="Normal"/>
        <w:spacing w:after="100"/>
      </w:pPr>
      <w:r>
        <w:t xml:space="preserve">ClinVar — clinical variant classification and significance</w:t>
      </w:r>
    </w:p>
    <w:p>
      <w:pPr>
        <w:pStyle w:val="Normal"/>
        <w:spacing w:after="100"/>
      </w:pPr>
      <w:r>
        <w:t xml:space="preserve">UK Biobank — large-scale phenotype-genotype association data</w:t>
      </w:r>
    </w:p>
    <w:p>
      <w:pPr>
        <w:pStyle w:val="Normal"/>
        <w:spacing w:after="100"/>
      </w:pPr>
      <w:r>
        <w:t xml:space="preserve">OMIM — gene summaries, disease associations, LoF tolerance</w:t>
      </w:r>
    </w:p>
    <w:p>
      <w:pPr>
        <w:pStyle w:val="Normal"/>
        <w:spacing w:after="100"/>
      </w:pPr>
      <w:r>
        <w:t xml:space="preserve">PubMed — scientific literature and published variant studies</w:t>
      </w:r>
    </w:p>
    <w:p>
      <w:pPr>
        <w:pStyle w:val="Normal"/>
        <w:spacing w:after="100"/>
      </w:pPr>
      <w:r>
        <w:t xml:space="preserve">Open Targets Genetics — human genetic evidence for target validation</w:t>
      </w:r>
    </w:p>
    <w:p>
      <w:pPr>
        <w:pStyle w:val="Normal"/>
        <w:spacing w:after="100"/>
      </w:pPr>
      <w:r>
        <w:t xml:space="preserve">Ensembl VEP — variant consequence prediction</w:t>
      </w:r>
    </w:p>
    <w:p>
      <w:pPr>
        <w:pStyle w:val="Normal"/>
        <w:spacing w:after="100"/>
      </w:pPr>
      <w:r>
        <w:t xml:space="preserve">UniProt — protein structure, function, and variant impact</w:t>
      </w:r>
    </w:p>
    <w:p>
      <w:pPr>
        <w:pStyle w:val="Normal"/>
        <w:spacing w:after="100"/>
      </w:pPr>
      <w:r>
        <w:t xml:space="preserve">NCBI RefSeq — transcript annotation and reference sequences</w:t>
      </w:r>
    </w:p>
    <w:p>
      <w:pPr>
        <w:pStyle w:val="Normal"/>
        <w:spacing w:after="100"/>
      </w:pPr>
      <w:r>
        <w:t xml:space="preserve">Quiver CRISPR EP Atlas — functional genomics phenotype signatures</w:t>
      </w:r>
    </w:p>
    <w:p>
      <w:pPr>
        <w:pStyle w:val="Normal"/>
        <w:spacing w:after="100"/>
      </w:pPr>
      <w:r>
        <w:t xml:space="preserve">Quiver ASO Design Module — ASO design and off-target prediction</w:t>
      </w:r>
    </w:p>
    <w:p>
      <w:pPr>
        <w:pStyle w:val="Normal"/>
        <w:spacing w:after="100"/>
      </w:pPr>
      <w:r>
        <w:t xml:space="preserve">RNAfold — RNA secondary structure and accessibility prediction</w:t>
      </w:r>
    </w:p>
    <w:p>
      <w:pPr>
        <w:pStyle w:val="Normal"/>
        <w:spacing w:after="100"/>
      </w:pPr>
      <w:r>
        <w:t xml:space="preserve">Sapphire Dose-Response Model — knockdown calibration and optimization</w:t>
      </w:r>
    </w:p>
    <w:p>
      <w:pPr>
        <w:pStyle w:val="Normal"/>
        <w:spacing w:after="100"/>
      </w:pPr>
      <w:r>
        <w:t xml:space="preserve">BLAST / Bowtie2 — sequence alignment for off-target assessment</w:t>
      </w:r>
    </w:p>
    <w:p>
      <w:pPr>
        <w:pStyle w:val="Normal"/>
        <w:spacing w:after="100"/>
      </w:pPr>
      <w:r>
        <w:t xml:space="preserve">DepMap — essentiality and gene dependency analysis</w:t>
      </w:r>
    </w:p>
    <w:p>
      <w:pPr>
        <w:pStyle w:val="Normal"/>
        <w:spacing w:after="100"/>
      </w:pPr>
      <w:r>
        <w:t xml:space="preserve">Quiver EP Toxicity Atlas — adverse phenotypes from gene perturbation</w:t>
      </w:r>
    </w:p>
    <w:p>
      <w:pPr>
        <w:pStyle w:val="Normal"/>
        <w:spacing w:after="100"/>
      </w:pPr>
      <w:r>
        <w:t xml:space="preserve">ClinicalTrials.gov — ongoing clinical trials and patient populations</w:t>
      </w:r>
    </w:p>
    <w:p>
      <w:pPr>
        <w:pStyle w:val="Normal"/>
        <w:spacing w:after="100"/>
      </w:pPr>
      <w:r>
        <w:t xml:space="preserve">Lens.org — patent landscape and IP exclusivity</w:t>
      </w:r>
    </w:p>
    <w:p>
      <w:pPr>
        <w:pStyle w:val="Normal"/>
        <w:spacing w:after="100"/>
      </w:pPr>
      <w:r>
        <w:t xml:space="preserve">DrugBank — existing modulators and clinical stage information</w:t>
      </w:r>
    </w:p>
    <w:p>
      <w:pPr>
        <w:pStyle w:val="Normal"/>
        <w:spacing w:after="100"/>
      </w:pPr>
      <w:r>
        <w:t xml:space="preserve">Sapphire Confidence Scoring — confidence assessment and scoring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2026-02-19T02:54:42.056Z</dcterms:created>
  <dcterms:modified xsi:type="dcterms:W3CDTF">2026-02-19T02:54:42.057Z</dcterms:modified>
</cp:coreProperties>
</file>

<file path=docProps/custom.xml><?xml version="1.0" encoding="utf-8"?>
<Properties xmlns="http://schemas.openxmlformats.org/officeDocument/2006/custom-properties" xmlns:vt="http://schemas.openxmlformats.org/officeDocument/2006/docPropsVTypes"/>
</file>