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034</w:t>
      </w:r>
    </w:p>
    <w:p>
      <w:pPr>
        <w:pStyle w:val="Heading2"/>
        <w:spacing w:before="200" w:after="160"/>
      </w:pPr>
      <w:r>
        <w:rPr>
          <w:rFonts w:ascii="Arial" w:hAnsi="Arial"/>
          <w:sz w:val="56"/>
        </w:rPr>
        <w:t>How internally consistent are electrophysiological signatures among gene perturbations in the mTOR pathway, and which outliers deviate most strongly from the cluster?</w:t>
      </w:r>
    </w:p>
    <w:p>
      <w:pPr>
        <w:spacing w:after="160"/>
      </w:pPr>
      <w:r>
        <w:rPr>
          <w:rFonts w:ascii="Arial" w:hAnsi="Arial"/>
          <w:sz w:val="48"/>
        </w:rPr>
        <w:t>Pipeline 034 focuses on mtor pathway consistency analysis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