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240"/>
      </w:pPr>
      <w:r>
        <w:rPr>
          <w:rFonts w:ascii="Arial" w:hAnsi="Arial"/>
          <w:sz w:val="64"/>
        </w:rPr>
        <w:t>Sapphire Pipeline 043</w:t>
      </w:r>
    </w:p>
    <w:p>
      <w:pPr>
        <w:pStyle w:val="Heading2"/>
        <w:spacing w:before="200" w:after="160"/>
      </w:pPr>
      <w:r>
        <w:rPr>
          <w:rFonts w:ascii="Arial" w:hAnsi="Arial"/>
          <w:sz w:val="56"/>
        </w:rPr>
        <w:t>For TSC2 loss-of-function, identify all gene perturbations in Quiver that are functionally antipodal. Rank them by druggability and BBB feasibility.</w:t>
      </w:r>
    </w:p>
    <w:p>
      <w:pPr>
        <w:spacing w:after="160"/>
      </w:pPr>
      <w:r>
        <w:rPr>
          <w:rFonts w:ascii="Arial" w:hAnsi="Arial"/>
          <w:sz w:val="48"/>
        </w:rPr>
        <w:t>Pipeline 043 focuses on tsc2 lof functional antagonists using the Sapphire platform's electrophysiology CRISPR atlas containing approximately 18,000 gene perturbations and 3,500 compound perturbations with over 500 measured features per neuron recorded under standardized conditions.</w:t>
      </w:r>
    </w:p>
    <w:p>
      <w:pPr>
        <w:spacing w:after="160"/>
      </w:pPr>
      <w:r>
        <w:rPr>
          <w:rFonts w:ascii="Arial" w:hAnsi="Arial"/>
          <w:sz w:val="48"/>
        </w:rPr>
        <w:t>This pipeline employs systematic statistical and machine learning approaches to extract clinically relevant insights from high-dimensional electrophysiological data. The workflow enables identification of novel therapeutic candidates, assessment of pathway consistency, and prediction of clinical feasibility for drug discovery applications in neurodegenerative disease contexts.</w:t>
      </w:r>
    </w:p>
    <w:p>
      <w:pPr>
        <w:spacing w:after="160"/>
      </w:pPr>
      <w:r>
        <w:rPr>
          <w:rFonts w:ascii="Arial" w:hAnsi="Arial"/>
          <w:sz w:val="48"/>
        </w:rPr>
        <w:t>The integration of computational analysis with biological validation ensures that results reflect genuine functional relationships rather than statistical artifacts or measurement noise. All ranking and clustering results are validated using multiple independent approaches to maximize confidence in candidate selection.</w:t>
      </w:r>
    </w:p>
    <w:p>
      <w:pPr>
        <w:spacing w:after="160"/>
      </w:pPr>
      <w:r>
        <w:rPr>
          <w:rFonts w:ascii="Arial" w:hAnsi="Arial"/>
          <w:sz w:val="48"/>
        </w:rPr>
        <w:t>The Sapphire platform provides a comprehensive analysis environment combining data integration, statistical testing, machine learning, and translational assessment modules. Advanced visualization capabilities enable intuitive exploration of high-dimensional results by medicinal chemistry and translational research teams.</w:t>
      </w:r>
    </w:p>
    <w:p>
      <w:pPr>
        <w:pStyle w:val="Heading2"/>
        <w:spacing w:before="200" w:after="160"/>
      </w:pPr>
      <w:r>
        <w:rPr>
          <w:rFonts w:ascii="Arial" w:hAnsi="Arial"/>
          <w:sz w:val="56"/>
        </w:rPr>
        <w:t>Overview</w:t>
      </w:r>
    </w:p>
    <w:p>
      <w:pPr>
        <w:spacing w:after="160"/>
      </w:pPr>
      <w:r>
        <w:rPr>
          <w:rFonts w:ascii="Arial" w:hAnsi="Arial"/>
          <w:sz w:val="48"/>
        </w:rPr>
        <w:t>This pipeline processes electrophysiological signatures from gene and compound perturbations to enable pathway-level, cross-pathway, and therapeutic target analysis. Integration of Quiver atlas data with external databases facilitates ranking, clustering, and validation of results across multiple independent datasets and experimental conditions.</w:t>
      </w:r>
    </w:p>
    <w:p>
      <w:pPr>
        <w:spacing w:after="160"/>
      </w:pPr>
      <w:r>
        <w:rPr>
          <w:rFonts w:ascii="Arial" w:hAnsi="Arial"/>
          <w:sz w:val="48"/>
        </w:rPr>
        <w:t>The workflow is designed to support multiple discovery objectives including pathway characterization, target identification, therapeutic hypothesis validation, and compound prioritization. Results are presented in ranked, clustered, and comparative formats suitable for medicinal chemistry and translational research teams working on drug development programs.</w:t>
      </w:r>
    </w:p>
    <w:p>
      <w:pPr>
        <w:spacing w:after="160"/>
      </w:pPr>
      <w:r>
        <w:rPr>
          <w:rFonts w:ascii="Arial" w:hAnsi="Arial"/>
          <w:sz w:val="48"/>
        </w:rPr>
        <w:t>Integration of machine learning models with biological validation enables high-confidence predictions that directly inform preclinical and clinical development strategies. The pipeline supports both hypothesis-generating analyses conducting exploratory data mining and hypothesis-testing analyses applying statistical validation depending on research objectives.</w:t>
      </w:r>
    </w:p>
    <w:p>
      <w:pPr>
        <w:spacing w:after="160"/>
      </w:pPr>
      <w:r>
        <w:rPr>
          <w:rFonts w:ascii="Arial" w:hAnsi="Arial"/>
          <w:sz w:val="48"/>
        </w:rPr>
        <w:t>Data flows through sequential processing stages that progressively refine candidate selection from thousands of gene and compound perturbations down to prioritized leads with detailed mechanistic annotation and translational assessment. Each stage produces both raw outputs and summary metrics suitable for decision-making by research teams.</w:t>
      </w:r>
    </w:p>
    <w:p>
      <w:pPr>
        <w:spacing w:after="160"/>
      </w:pPr>
      <w:r>
        <w:rPr>
          <w:rFonts w:ascii="Arial" w:hAnsi="Arial"/>
          <w:sz w:val="48"/>
        </w:rPr>
        <w:t>The pipeline implements multiple quality control checkpoints to ensure data integrity throughout analysis. Validation metrics are computed at each stage to assess confidence in results and identify potential sources of bias, confounding, or measurement artifacts.</w:t>
      </w:r>
    </w:p>
    <w:p>
      <w:pPr>
        <w:spacing w:after="160"/>
      </w:pPr>
      <w:r>
        <w:rPr>
          <w:rFonts w:ascii="Arial" w:hAnsi="Arial"/>
          <w:sz w:val="48"/>
        </w:rPr>
        <w:t>Computational scalability ensures rapid turnaround for analyses involving thousands of perturbations and hundreds of features per sample. The platform supports iterative refinement of analyses and sensitivity testing to assess robustness of conclusions to parameter choices and methodological assumptions.</w:t>
      </w:r>
    </w:p>
    <w:p>
      <w:pPr>
        <w:pStyle w:val="Heading2"/>
        <w:spacing w:before="200" w:after="160"/>
      </w:pPr>
      <w:r>
        <w:rPr>
          <w:rFonts w:ascii="Arial" w:hAnsi="Arial"/>
          <w:sz w:val="56"/>
        </w:rPr>
        <w:t>Stage 1: Data Integration and Preprocessing</w:t>
      </w:r>
    </w:p>
    <w:p>
      <w:pPr>
        <w:spacing w:after="160"/>
      </w:pPr>
      <w:r>
        <w:rPr>
          <w:rFonts w:ascii="Arial" w:hAnsi="Arial"/>
          <w:b/>
          <w:sz w:val="48"/>
        </w:rPr>
        <w:t>Purpose:</w:t>
      </w:r>
      <w:r>
        <w:rPr>
          <w:rFonts w:ascii="Arial" w:hAnsi="Arial"/>
          <w:sz w:val="48"/>
        </w:rPr>
        <w:t xml:space="preserve"> Integrate multi-source electrophysiological data, normalize features, and prepare datasets for downstream analysis. This stage ensures data quality, handles missing values, and establishes consistent feature scaling across all perturbation records. Quality control procedures validate assay performance and identify systematic batch effects.</w:t>
      </w:r>
    </w:p>
    <w:p>
      <w:pPr>
        <w:spacing w:after="160"/>
      </w:pPr>
      <w:r>
        <w:rPr>
          <w:rFonts w:ascii="Arial" w:hAnsi="Arial"/>
          <w:sz w:val="48"/>
        </w:rPr>
        <w:t>Data preprocessing begins with raw electrophysiological recordings from high-throughput CRISPR screening experiments. Each record contains measurements of hundreds of cellular electrophysiological features including action potential properties, membrane potential dynamics, ion channel activities, and network-level firing patterns.</w:t>
      </w:r>
    </w:p>
    <w:p>
      <w:pPr>
        <w:spacing w:after="160"/>
      </w:pPr>
      <w:r>
        <w:rPr>
          <w:rFonts w:ascii="Arial" w:hAnsi="Arial"/>
          <w:sz w:val="48"/>
        </w:rPr>
        <w:t>The Quiver atlas integrates recordings from multiple experimental batches conducted over extended time periods. Batch effects may arise from variation in electrode configuration, recording temperature, cell passage number, media composition, or other technical factors. Systematic identification and correction of batch effects is critical for valid comparative analysis.</w:t>
      </w:r>
    </w:p>
    <w:p>
      <w:pPr>
        <w:spacing w:after="160"/>
      </w:pPr>
      <w:r>
        <w:rPr>
          <w:rFonts w:ascii="Arial" w:hAnsi="Arial"/>
          <w:sz w:val="48"/>
        </w:rPr>
        <w:t>Feature normalization transforms raw measurements into comparable scales suitable for distance calculations and statistical analysis. Robust normalization approaches minimize influence of outliers and preserve biological signal while removing technical variation. Multiple normalization strategies are evaluated and compared to identify optimal preprocessing approach.</w:t>
      </w:r>
    </w:p>
    <w:p>
      <w:pPr>
        <w:spacing w:after="160"/>
      </w:pPr>
      <w:r>
        <w:rPr>
          <w:rFonts w:ascii="Arial" w:hAnsi="Arial"/>
          <w:b/>
          <w:sz w:val="48"/>
        </w:rPr>
        <w:t>Inputs:</w:t>
      </w:r>
      <w:r>
        <w:rPr>
          <w:rFonts w:ascii="Arial" w:hAnsi="Arial"/>
          <w:sz w:val="48"/>
        </w:rPr>
        <w:t xml:space="preserve"> (1) Quiver atlas raw EP measurements (~18k gene perturbations); (2) Compound perturbation profiles (~3.5k molecules); (3) Pathway annotations (KEGG, GO, Reactome, BioCarta); (4) CRISPR guide RNA efficacy scores; (5) Assay quality metrics and batch identifiers; (6) Reference control samples; (7) Electrode position and temperature records.</w:t>
      </w:r>
    </w:p>
    <w:p>
      <w:pPr>
        <w:spacing w:after="160"/>
      </w:pPr>
      <w:r>
        <w:rPr>
          <w:rFonts w:ascii="Arial" w:hAnsi="Arial"/>
          <w:sz w:val="48"/>
        </w:rPr>
        <w:t>Quality metrics are extracted from raw recordings to assess assay performance and identify problematic experiments requiring removal or flagging. Common quality control criteria include signal-to-noise ratio thresholds, cell viability indicators, baseline stability measures, and electrode impedance specifications.</w:t>
      </w:r>
    </w:p>
    <w:p>
      <w:pPr>
        <w:spacing w:after="160"/>
      </w:pPr>
      <w:r>
        <w:rPr>
          <w:rFonts w:ascii="Arial" w:hAnsi="Arial"/>
          <w:sz w:val="48"/>
        </w:rPr>
        <w:t>Missing value handling employs k-nearest neighbor imputation preserving local structure in feature space. Imputation is performed separately within each batch to avoid introducing batch artifacts. Sensitivity analyses confirm that results are robust to imputation strategy choice.</w:t>
      </w:r>
    </w:p>
    <w:p>
      <w:pPr>
        <w:spacing w:after="160"/>
      </w:pPr>
      <w:r>
        <w:rPr>
          <w:rFonts w:ascii="Arial" w:hAnsi="Arial"/>
          <w:b/>
          <w:sz w:val="48"/>
        </w:rPr>
        <w:t>Tools &amp; Databases Called:</w:t>
      </w:r>
      <w:r>
        <w:rPr>
          <w:rFonts w:ascii="Arial" w:hAnsi="Arial"/>
          <w:sz w:val="48"/>
        </w:rPr>
        <w:t xml:space="preserve"> Quiver Bioscience EP atlas; KEGG pathway database; GO annotation API; Reactome database; BioCarta pathways; Python preprocessing (pandas, scikit-learn, numpy); Scipy.stats for statistical validation; HDF5 storage; Joblib for parallel processing; Statsmodels for statistical testing.</w:t>
      </w:r>
    </w:p>
    <w:p>
      <w:pPr>
        <w:spacing w:after="160"/>
      </w:pPr>
      <w:r>
        <w:rPr>
          <w:rFonts w:ascii="Arial" w:hAnsi="Arial"/>
          <w:sz w:val="48"/>
        </w:rPr>
        <w:t>Custom preprocessing pipelines are optimized for the electrophysiological data domain, incorporating domain-specific knowledge about recording artifacts, feature distributions, and biological constraints. Iterative development and validation ensures preprocessing maintains biological signal while removing technical noise.</w:t>
      </w:r>
    </w:p>
    <w:p>
      <w:pPr>
        <w:spacing w:after="160"/>
      </w:pPr>
      <w:r>
        <w:rPr>
          <w:rFonts w:ascii="Arial" w:hAnsi="Arial"/>
          <w:b/>
          <w:sz w:val="48"/>
        </w:rPr>
        <w:t>Exemplary Sub-Prompts:</w:t>
      </w:r>
      <w:r>
        <w:rPr>
          <w:rFonts w:ascii="Arial" w:hAnsi="Arial"/>
          <w:sz w:val="48"/>
        </w:rPr>
        <w:t xml:space="preserve"> "Load all mTOR pathway gene perturbations from Quiver with complete feature vectors and quality flags"; "Normalize EP features to zero mean and unit variance using robust scaling (median, IQR)"; "Identify and handle missing values using k-NN imputation (k=5) within batch"; "Remove low-quality assays based on signal-to-noise ratio thresholds"; "Create pathway-stratified datasets with balanced design across batches"; "Assess batch effects using principal component analysis and ComBat correction".</w:t>
      </w:r>
    </w:p>
    <w:p>
      <w:pPr>
        <w:spacing w:after="160"/>
      </w:pPr>
      <w:r>
        <w:rPr>
          <w:rFonts w:ascii="Arial" w:hAnsi="Arial"/>
          <w:sz w:val="48"/>
        </w:rPr>
        <w:t>Validation of preprocessing quality is performed through multiple checks. Distribution plots confirm normalization is appropriate. Batch effect assessment using PCA helps identify residual technical variation requiring additional correction. Comparison of results before and after preprocessing documents impact on downstream analyses.</w:t>
      </w:r>
    </w:p>
    <w:p>
      <w:pPr>
        <w:spacing w:after="160"/>
      </w:pPr>
      <w:r>
        <w:rPr>
          <w:rFonts w:ascii="Arial" w:hAnsi="Arial"/>
          <w:b/>
          <w:sz w:val="48"/>
        </w:rPr>
        <w:t>Expected Outputs:</w:t>
      </w:r>
      <w:r>
        <w:rPr>
          <w:rFonts w:ascii="Arial" w:hAnsi="Arial"/>
          <w:sz w:val="48"/>
        </w:rPr>
        <w:t xml:space="preserve"> (1) Preprocessed feature matrices (genes × features and compounds × features); (2) Normalized EP vectors suitable for distance calculations; (3) Quality-filtered perturbation sets; (4) Pathway-stratified subsets; (5) Data completeness report with imputation summaries; (6) Validation statistics for feature normalization; (7) Batch effect assessment; (8) Metadata tables; (9) Visualization of distributions before/after.</w:t>
      </w:r>
    </w:p>
    <w:p>
      <w:pPr>
        <w:spacing w:after="160"/>
      </w:pPr>
      <w:r>
        <w:rPr>
          <w:rFonts w:ascii="Arial" w:hAnsi="Arial"/>
          <w:sz w:val="48"/>
        </w:rPr>
        <w:t>Documentation of preprocessing decisions is maintained for reproducibility and transparency. Rationale for quality control thresholds and batch correction methods is recorded. Version tracking ensures preprocessing pipeline is applied consistently across all analyses.</w:t>
      </w:r>
    </w:p>
    <w:p>
      <w:pPr>
        <w:spacing w:after="160"/>
      </w:pPr>
      <w:r>
        <w:rPr>
          <w:rFonts w:ascii="Arial" w:hAnsi="Arial"/>
          <w:b/>
          <w:sz w:val="48"/>
        </w:rPr>
        <w:t>Format:</w:t>
      </w:r>
      <w:r>
        <w:rPr>
          <w:rFonts w:ascii="Arial" w:hAnsi="Arial"/>
          <w:sz w:val="48"/>
        </w:rPr>
        <w:t xml:space="preserve"> Structured arrays (.npy, .h5) with metadata; CSV files with annotations; JSON quality reports; Pathway stratification indices; Data provenance logs; Distribution plots; Batch effect visualizations; PCA plots showing batch structure.</w:t>
      </w:r>
    </w:p>
    <w:p>
      <w:pPr>
        <w:pStyle w:val="Heading2"/>
        <w:spacing w:before="200" w:after="160"/>
      </w:pPr>
      <w:r>
        <w:rPr>
          <w:rFonts w:ascii="Arial" w:hAnsi="Arial"/>
          <w:sz w:val="56"/>
        </w:rPr>
        <w:t>Stage 2: Pathway-Level Clustering and Consistency Analysis</w:t>
      </w:r>
    </w:p>
    <w:p>
      <w:pPr>
        <w:spacing w:after="160"/>
      </w:pPr>
      <w:r>
        <w:rPr>
          <w:rFonts w:ascii="Arial" w:hAnsi="Arial"/>
          <w:b/>
          <w:sz w:val="48"/>
        </w:rPr>
        <w:t>Purpose:</w:t>
      </w:r>
      <w:r>
        <w:rPr>
          <w:rFonts w:ascii="Arial" w:hAnsi="Arial"/>
          <w:sz w:val="48"/>
        </w:rPr>
        <w:t xml:space="preserve"> Compute inter-perturbation distances within pathway groups, identify cluster structure, detect outliers, and quantify internal pathway consistency. This stage characterizes how cohesively gene perturbations within a pathway cluster in electrophysiological space. Outlier identification reveals genes with atypical functions.</w:t>
      </w:r>
    </w:p>
    <w:p>
      <w:pPr>
        <w:spacing w:after="160"/>
      </w:pPr>
      <w:r>
        <w:rPr>
          <w:rFonts w:ascii="Arial" w:hAnsi="Arial"/>
          <w:sz w:val="48"/>
        </w:rPr>
        <w:t>Pathway consistency analysis begins with selection of reference pathway. KEGG pathway definitions provide canonical gene membership lists. Additional pathway databases (GO, Reactome, BioCarta) provide complementary annotations capturing pathway variants and sub-pathways.</w:t>
      </w:r>
    </w:p>
    <w:p>
      <w:pPr>
        <w:spacing w:after="160"/>
      </w:pPr>
      <w:r>
        <w:rPr>
          <w:rFonts w:ascii="Arial" w:hAnsi="Arial"/>
          <w:sz w:val="48"/>
        </w:rPr>
        <w:t>Distance metric selection is critical for capturing relevant biological similarity. Cosine similarity emphasizes feature direction, while Euclidean distance preserves magnitude information. Pearson correlation captures linear relationships independent of scale. Comparative analysis evaluates which metric best captures biological similarity for pathway genes.</w:t>
      </w:r>
    </w:p>
    <w:p>
      <w:pPr>
        <w:spacing w:after="160"/>
      </w:pPr>
      <w:r>
        <w:rPr>
          <w:rFonts w:ascii="Arial" w:hAnsi="Arial"/>
          <w:sz w:val="48"/>
        </w:rPr>
        <w:t>Hierarchical clustering organizes genes by pairwise similarity, producing dendrograms that visualize cluster structure and relationships. Multiple linkage methods (complete, average, Ward) are evaluated to assess robustness of cluster structure. Bootstrap resampling assesses stability of cluster assignments across subsamples.</w:t>
      </w:r>
    </w:p>
    <w:p>
      <w:pPr>
        <w:spacing w:after="160"/>
      </w:pPr>
      <w:r>
        <w:rPr>
          <w:rFonts w:ascii="Arial" w:hAnsi="Arial"/>
          <w:b/>
          <w:sz w:val="48"/>
        </w:rPr>
        <w:t>Inputs:</w:t>
      </w:r>
      <w:r>
        <w:rPr>
          <w:rFonts w:ascii="Arial" w:hAnsi="Arial"/>
          <w:sz w:val="48"/>
        </w:rPr>
        <w:t xml:space="preserve"> (1) Normalized EP feature vectors for target pathway; (2) Pathway definitions and gene membership; (3) Distance metrics (Euclidean, cosine, correlation); (4) Clustering parameters (k for k-means, linkage method); (5) Outlier detection thresholds; (6) Bootstrap parameters; (7) Sub-pathway information.</w:t>
      </w:r>
    </w:p>
    <w:p>
      <w:pPr>
        <w:spacing w:after="160"/>
      </w:pPr>
      <w:r>
        <w:rPr>
          <w:rFonts w:ascii="Arial" w:hAnsi="Arial"/>
          <w:sz w:val="48"/>
        </w:rPr>
        <w:t>Silhouette analysis quantifies how well each gene clusters with similar genes versus dissimilar genes. Genes with negative silhouette scores represent poor-quality clusters potentially indicating functional outliers with atypical electrophysiological signatures.</w:t>
      </w:r>
    </w:p>
    <w:p>
      <w:pPr>
        <w:spacing w:after="160"/>
      </w:pPr>
      <w:r>
        <w:rPr>
          <w:rFonts w:ascii="Arial" w:hAnsi="Arial"/>
          <w:sz w:val="48"/>
        </w:rPr>
        <w:t>Davies-Bouldin index measures cluster quality by comparing average within-cluster distances to between-cluster distances. Lower values indicate tighter, more well-separated clusters. Comparison with permuted null distribution establishes statistical significance of cluster structure.</w:t>
      </w:r>
    </w:p>
    <w:p>
      <w:pPr>
        <w:spacing w:after="160"/>
      </w:pPr>
      <w:r>
        <w:rPr>
          <w:rFonts w:ascii="Arial" w:hAnsi="Arial"/>
          <w:sz w:val="48"/>
        </w:rPr>
        <w:t>Calinski-Harabasz index balances cluster separation against cluster compactness. This metric is particularly useful for evaluating appropriate cluster number in k-means clustering. Elbow plots of this metric inform selection of optimal cluster number.</w:t>
      </w:r>
    </w:p>
    <w:p>
      <w:pPr>
        <w:spacing w:after="160"/>
      </w:pPr>
      <w:r>
        <w:rPr>
          <w:rFonts w:ascii="Arial" w:hAnsi="Arial"/>
          <w:b/>
          <w:sz w:val="48"/>
        </w:rPr>
        <w:t>Tools &amp; Databases Called:</w:t>
      </w:r>
      <w:r>
        <w:rPr>
          <w:rFonts w:ascii="Arial" w:hAnsi="Arial"/>
          <w:sz w:val="48"/>
        </w:rPr>
        <w:t xml:space="preserve"> scikit-learn (KMeans, hierarchical clustering, DBSCAN, AgglomerativeClustering); SciPy (pdist, squareform, dendrogram); Statsmodels; Silhouette coefficient, Davies-Bouldin, Calinski-Harabasz; Outlier detection (isolation forest, LOF, z-score); Seaborn/Matplotlib visualization.</w:t>
      </w:r>
    </w:p>
    <w:p>
      <w:pPr>
        <w:spacing w:after="160"/>
      </w:pPr>
      <w:r>
        <w:rPr>
          <w:rFonts w:ascii="Arial" w:hAnsi="Arial"/>
          <w:sz w:val="48"/>
        </w:rPr>
        <w:t>Outlier detection employs multiple independent methods. Z-score based detection identifies genes with extreme distances from cluster centroid. Isolation forest uses ensemble methods to identify isolated points. Local outlier factor detects genes with low local density relative to neighbors.</w:t>
      </w:r>
    </w:p>
    <w:p>
      <w:pPr>
        <w:spacing w:after="160"/>
      </w:pPr>
      <w:r>
        <w:rPr>
          <w:rFonts w:ascii="Arial" w:hAnsi="Arial"/>
          <w:sz w:val="48"/>
        </w:rPr>
        <w:t>Bootstrap stability assessment resamples genes with replacement and recomputes clustering. Genes with consistent cluster assignments across bootstrap samples are considered robust cluster members. Genes changing cluster assignment frequently indicate borderline cases or true functional outliers.</w:t>
      </w:r>
    </w:p>
    <w:p>
      <w:pPr>
        <w:spacing w:after="160"/>
      </w:pPr>
      <w:r>
        <w:rPr>
          <w:rFonts w:ascii="Arial" w:hAnsi="Arial"/>
          <w:b/>
          <w:sz w:val="48"/>
        </w:rPr>
        <w:t>Exemplary Sub-Prompts:</w:t>
      </w:r>
      <w:r>
        <w:rPr>
          <w:rFonts w:ascii="Arial" w:hAnsi="Arial"/>
          <w:sz w:val="48"/>
        </w:rPr>
        <w:t xml:space="preserve"> "Calculate pairwise distances between all mTOR genes using cosine similarity and correlation metrics"; "Perform hierarchical clustering with multiple linkage methods and compare dendrogram topology"; "Identify genes with silhouette scores &lt;-0.2 as outliers and rank by deviation magnitude"; "Compute Davies-Bouldin and Calinski-Harabasz indices for cluster quality"; "Rank genes by distance from cluster centroid and extract top 10-20 outliers"; "Test cluster stability using bootstrap resampling (n=1000) and report robust assignments".</w:t>
      </w:r>
    </w:p>
    <w:p>
      <w:pPr>
        <w:spacing w:after="160"/>
      </w:pPr>
      <w:r>
        <w:rPr>
          <w:rFonts w:ascii="Arial" w:hAnsi="Arial"/>
          <w:sz w:val="48"/>
        </w:rPr>
        <w:t>Visualization of clustering results aids interpretation. Dendrograms with color-coded branch labels show hierarchical structure. Distance heatmaps reveal pair wise similarity structure. 2D/3D projections using t-SNE or UMAP provide intuitive visualization of high-dimensional structure.</w:t>
      </w:r>
    </w:p>
    <w:p>
      <w:pPr>
        <w:spacing w:after="160"/>
      </w:pPr>
      <w:r>
        <w:rPr>
          <w:rFonts w:ascii="Arial" w:hAnsi="Arial"/>
          <w:b/>
          <w:sz w:val="48"/>
        </w:rPr>
        <w:t>Expected Outputs:</w:t>
      </w:r>
      <w:r>
        <w:rPr>
          <w:rFonts w:ascii="Arial" w:hAnsi="Arial"/>
          <w:sz w:val="48"/>
        </w:rPr>
        <w:t xml:space="preserve"> (1) Pairwise distance matrices for pathway genes; (2) Cluster assignments with silhouette scores; (3) Dendrograms with branch coloring; (4) Davies-Bouldin and Calinski-Harabasz indices; (5) Outlier identification with deviation magnitude and p-values; (6) Within vs between-cluster distance ratios; (7) Ranked genes by outlier strength; (8) Cluster stability estimates; (9) Distance heatmaps.</w:t>
      </w:r>
    </w:p>
    <w:p>
      <w:pPr>
        <w:spacing w:after="160"/>
      </w:pPr>
      <w:r>
        <w:rPr>
          <w:rFonts w:ascii="Arial" w:hAnsi="Arial"/>
          <w:sz w:val="48"/>
        </w:rPr>
        <w:t>Interpretation of outlier genes involves characterization of functional distinctions. Outlier genes may represent distinct biological roles (regulatory vs structural), participate in sub-pathways, or show isoform-specific functions. Literature review and functional annotation illuminate mechanisms underlying outlier status.</w:t>
      </w:r>
    </w:p>
    <w:p>
      <w:pPr>
        <w:spacing w:after="160"/>
      </w:pPr>
      <w:r>
        <w:rPr>
          <w:rFonts w:ascii="Arial" w:hAnsi="Arial"/>
          <w:b/>
          <w:sz w:val="48"/>
        </w:rPr>
        <w:t>Format:</w:t>
      </w:r>
      <w:r>
        <w:rPr>
          <w:rFonts w:ascii="Arial" w:hAnsi="Arial"/>
          <w:sz w:val="48"/>
        </w:rPr>
        <w:t xml:space="preserve"> High-resolution dendrograms (PNG/PDF) with branch coloring and labels; Distance heatmaps with dendrograms; CSV tables with cluster assignments, silhouette scores, outlier rankings; JSON summary statistics; Bootstrap stability report; 2D/3D projection plots; Publication-quality figures.</w:t>
      </w:r>
    </w:p>
    <w:p>
      <w:pPr>
        <w:pStyle w:val="Heading2"/>
        <w:spacing w:before="200" w:after="160"/>
      </w:pPr>
      <w:r>
        <w:rPr>
          <w:rFonts w:ascii="Arial" w:hAnsi="Arial"/>
          <w:sz w:val="56"/>
        </w:rPr>
        <w:t>Stage 3: Cross-Pathway Comparative Analysis</w:t>
      </w:r>
    </w:p>
    <w:p>
      <w:pPr>
        <w:spacing w:after="160"/>
      </w:pPr>
      <w:r>
        <w:rPr>
          <w:rFonts w:ascii="Arial" w:hAnsi="Arial"/>
          <w:b/>
          <w:sz w:val="48"/>
        </w:rPr>
        <w:t>Purpose:</w:t>
      </w:r>
      <w:r>
        <w:rPr>
          <w:rFonts w:ascii="Arial" w:hAnsi="Arial"/>
          <w:sz w:val="48"/>
        </w:rPr>
        <w:t xml:space="preserve"> Compare electrophysiological profiles across multiple pathways, identify distinguishing features, and assess pathway-level separability. This stage enables ranking pathways by profile similarity and identification of pathway-specific signature features. Statistical testing quantifies significance of differences.</w:t>
      </w:r>
    </w:p>
    <w:p>
      <w:pPr>
        <w:spacing w:after="160"/>
      </w:pPr>
      <w:r>
        <w:rPr>
          <w:rFonts w:ascii="Arial" w:hAnsi="Arial"/>
          <w:sz w:val="48"/>
        </w:rPr>
        <w:t>Cross-pathway analysis compares electrophysiological profiles to assess whether different signaling pathways produce distinguishable electrophysiological signatures. Positive results indicate pathway-specific electrophysiology, suggesting pathway targeting may be feasible therapeutically.</w:t>
      </w:r>
    </w:p>
    <w:p>
      <w:pPr>
        <w:spacing w:after="160"/>
      </w:pPr>
      <w:r>
        <w:rPr>
          <w:rFonts w:ascii="Arial" w:hAnsi="Arial"/>
          <w:sz w:val="48"/>
        </w:rPr>
        <w:t>Feature importance analysis identifies which electrophysiological features best distinguish different pathways. Features with high importance may reflect pathway-specific ion channel profiles, network connectivity, or firing patterns. These signature features enable mechanistic understanding of pathway function.</w:t>
      </w:r>
    </w:p>
    <w:p>
      <w:pPr>
        <w:spacing w:after="160"/>
      </w:pPr>
      <w:r>
        <w:rPr>
          <w:rFonts w:ascii="Arial" w:hAnsi="Arial"/>
          <w:sz w:val="48"/>
        </w:rPr>
        <w:t>Multivariate analysis of variance (MANOVA) tests whether pathway groups differ significantly across all features simultaneously. Wilks' Lambda statistic quantifies group separation. Post-hoc testing identifies individual features driving pathway differences.</w:t>
      </w:r>
    </w:p>
    <w:p>
      <w:pPr>
        <w:spacing w:after="160"/>
      </w:pPr>
      <w:r>
        <w:rPr>
          <w:rFonts w:ascii="Arial" w:hAnsi="Arial"/>
          <w:b/>
          <w:sz w:val="48"/>
        </w:rPr>
        <w:t>Inputs:</w:t>
      </w:r>
      <w:r>
        <w:rPr>
          <w:rFonts w:ascii="Arial" w:hAnsi="Arial"/>
          <w:sz w:val="48"/>
        </w:rPr>
        <w:t xml:space="preserve"> (1) Preprocessed EP vectors for all KEGG pathways; (2) Pathway annotations and functional groupings; (3) Feature importance metrics; (4) Statistical test parameters (alpha, correction method); (5) Classification model specifications; (6) Cross-validation parameters; (7) Prior pathway relationships.</w:t>
      </w:r>
    </w:p>
    <w:p>
      <w:pPr>
        <w:spacing w:after="160"/>
      </w:pPr>
      <w:r>
        <w:rPr>
          <w:rFonts w:ascii="Arial" w:hAnsi="Arial"/>
          <w:sz w:val="48"/>
        </w:rPr>
        <w:t>Random forest classification builds ensemble of decision trees distinguishing pathway groups. Feature importance from random forests measures how often features appear in splitting rules. SHAP values provide model-agnostic feature importance based on Shapley value game theory.</w:t>
      </w:r>
    </w:p>
    <w:p>
      <w:pPr>
        <w:spacing w:after="160"/>
      </w:pPr>
      <w:r>
        <w:rPr>
          <w:rFonts w:ascii="Arial" w:hAnsi="Arial"/>
          <w:sz w:val="48"/>
        </w:rPr>
        <w:t>Support vector machine (SVM) classification with linear kernels produces maximum-margin decision boundaries. Support vector magnitudes indicate feature importance for classification. RBF kernels capture nonlinear relationships at cost of interpretability.</w:t>
      </w:r>
    </w:p>
    <w:p>
      <w:pPr>
        <w:spacing w:after="160"/>
      </w:pPr>
      <w:r>
        <w:rPr>
          <w:rFonts w:ascii="Arial" w:hAnsi="Arial"/>
          <w:sz w:val="48"/>
        </w:rPr>
        <w:t>Logistic regression provides interpretable coefficients indicating feature direction and magnitude for pathway distinction. Regularization prevents overfitting on high-dimensional features. Model calibration ensures predicted probabilities reflect true likelihood.</w:t>
      </w:r>
    </w:p>
    <w:p>
      <w:pPr>
        <w:spacing w:after="160"/>
      </w:pPr>
      <w:r>
        <w:rPr>
          <w:rFonts w:ascii="Arial" w:hAnsi="Arial"/>
          <w:b/>
          <w:sz w:val="48"/>
        </w:rPr>
        <w:t>Tools &amp; Databases Called:</w:t>
      </w:r>
      <w:r>
        <w:rPr>
          <w:rFonts w:ascii="Arial" w:hAnsi="Arial"/>
          <w:sz w:val="48"/>
        </w:rPr>
        <w:t xml:space="preserve"> scikit-learn (classification, feature selection, cross_val_score); Statsmodels (ANOVA, Welch's t-test, MANOVA, effect size); SHAP (Shapley value importance); XGBoost/random forest; Custom pipelines; Scipy.stats; Permutation testing.</w:t>
      </w:r>
    </w:p>
    <w:p>
      <w:pPr>
        <w:spacing w:after="160"/>
      </w:pPr>
      <w:r>
        <w:rPr>
          <w:rFonts w:ascii="Arial" w:hAnsi="Arial"/>
          <w:sz w:val="48"/>
        </w:rPr>
        <w:t>Cross-validation assesses generalization performance to unseen data. Stratified k-fold cross-validation maintains class balance across folds. Nested cross-validation with hyperparameter tuning prevents selection bias in performance estimates.</w:t>
      </w:r>
    </w:p>
    <w:p>
      <w:pPr>
        <w:spacing w:after="160"/>
      </w:pPr>
      <w:r>
        <w:rPr>
          <w:rFonts w:ascii="Arial" w:hAnsi="Arial"/>
          <w:sz w:val="48"/>
        </w:rPr>
        <w:t>Permutation testing assesses statistical significance by computing test statistics on shuffled labels. Comparison with null distribution establishes p-values robust to multiple testing. FDR correction controls false discovery rate across feature importance tests.</w:t>
      </w:r>
    </w:p>
    <w:p>
      <w:pPr>
        <w:spacing w:after="160"/>
      </w:pPr>
      <w:r>
        <w:rPr>
          <w:rFonts w:ascii="Arial" w:hAnsi="Arial"/>
          <w:b/>
          <w:sz w:val="48"/>
        </w:rPr>
        <w:t>Exemplary Sub-Prompts:</w:t>
      </w:r>
      <w:r>
        <w:rPr>
          <w:rFonts w:ascii="Arial" w:hAnsi="Arial"/>
          <w:sz w:val="48"/>
        </w:rPr>
        <w:t xml:space="preserve"> "Rank all KEGG pathways by internal profile similarity using average pairwise correlation within pathways"; "Test PI3K-Akt vs Wnt pathway differences using MANOVA with Wilks' Lambda test"; "Identify top 10-20 features distinguishing pathway X from pathway Y using SHAP values"; "Build random forest classifier for pathway distinction and extract feature importance with CIs"; "Calculate inter-pathway similarity matrix using Jensen-Shannon divergence"; "Conduct permutation testing (n=10000) to assess statistical significance of pathway separation".</w:t>
      </w:r>
    </w:p>
    <w:p>
      <w:pPr>
        <w:spacing w:after="160"/>
      </w:pPr>
      <w:r>
        <w:rPr>
          <w:rFonts w:ascii="Arial" w:hAnsi="Arial"/>
          <w:sz w:val="48"/>
        </w:rPr>
        <w:t>ROC curves and AUC quantify classification performance. Perfect classification achieves AUC=1.0, random classification achieves AUC=0.5. AUC values and confidence intervals are reported for each pathway pair.</w:t>
      </w:r>
    </w:p>
    <w:p>
      <w:pPr>
        <w:spacing w:after="160"/>
      </w:pPr>
      <w:r>
        <w:rPr>
          <w:rFonts w:ascii="Arial" w:hAnsi="Arial"/>
          <w:sz w:val="48"/>
        </w:rPr>
        <w:t>Confusion matrices detail classification accuracy breakdown by pathway. Diagonal elements represent correct classifications, off-diagonal elements represent misclassifications. Pattern of misclassifications may reveal pathways with similar electrophysiology (potentially functionally related).</w:t>
      </w:r>
    </w:p>
    <w:p>
      <w:pPr>
        <w:spacing w:after="160"/>
      </w:pPr>
      <w:r>
        <w:rPr>
          <w:rFonts w:ascii="Arial" w:hAnsi="Arial"/>
          <w:b/>
          <w:sz w:val="48"/>
        </w:rPr>
        <w:t>Expected Outputs:</w:t>
      </w:r>
      <w:r>
        <w:rPr>
          <w:rFonts w:ascii="Arial" w:hAnsi="Arial"/>
          <w:sz w:val="48"/>
        </w:rPr>
        <w:t xml:space="preserve"> (1) Cross-pathway similarity/distance matrices; (2) Ranked pathways by internal consistency; (3) Classification metrics (AUC, precision, recall, F1); (4) Feature importance rankings with statistics; (5) MANOVA results with effect sizes; (6) Confusion matrices; (7) ROC curves; (8) Volcano plots showing differential features.</w:t>
      </w:r>
    </w:p>
    <w:p>
      <w:pPr>
        <w:spacing w:after="160"/>
      </w:pPr>
      <w:r>
        <w:rPr>
          <w:rFonts w:ascii="Arial" w:hAnsi="Arial"/>
          <w:sz w:val="48"/>
        </w:rPr>
        <w:t>Interpretation of pathway differences requires integration with pathway biology. Distinguishing features may reflect known pathway mechanisms or reveal novel pathway-specific electrophysiological characteristics. Unexpected feature importance may motivate mechanistic validation experiments.</w:t>
      </w:r>
    </w:p>
    <w:p>
      <w:pPr>
        <w:spacing w:after="160"/>
      </w:pPr>
      <w:r>
        <w:rPr>
          <w:rFonts w:ascii="Arial" w:hAnsi="Arial"/>
          <w:b/>
          <w:sz w:val="48"/>
        </w:rPr>
        <w:t>Format:</w:t>
      </w:r>
      <w:r>
        <w:rPr>
          <w:rFonts w:ascii="Arial" w:hAnsi="Arial"/>
          <w:sz w:val="48"/>
        </w:rPr>
        <w:t xml:space="preserve"> Ranked CSV files with annotations; Pathway similarity heatmaps; SHAP force plots and beeswarm plots; ROC/AUC curves; Statistical summary tables with p-values/effect sizes; Volcano plots; Cross-pathway comparison matrices.</w:t>
      </w:r>
    </w:p>
    <w:p>
      <w:pPr>
        <w:pStyle w:val="Heading2"/>
        <w:spacing w:before="200" w:after="160"/>
      </w:pPr>
      <w:r>
        <w:rPr>
          <w:rFonts w:ascii="Arial" w:hAnsi="Arial"/>
          <w:sz w:val="56"/>
        </w:rPr>
        <w:t>Stage 4: Functional Antagonism and Target Identification</w:t>
      </w:r>
    </w:p>
    <w:p>
      <w:pPr>
        <w:spacing w:after="160"/>
      </w:pPr>
      <w:r>
        <w:rPr>
          <w:rFonts w:ascii="Arial" w:hAnsi="Arial"/>
          <w:b/>
          <w:sz w:val="48"/>
        </w:rPr>
        <w:t>Purpose:</w:t>
      </w:r>
      <w:r>
        <w:rPr>
          <w:rFonts w:ascii="Arial" w:hAnsi="Arial"/>
          <w:sz w:val="48"/>
        </w:rPr>
        <w:t xml:space="preserve"> Identify perturbations producing electrophysiological phenotypes antipodal to reference disease state. This stage ranks therapeutic candidates by functional antagonism strength, enabling rational selection of rescue genes/compounds. Mechanistic analysis reveals compensatory pathways.</w:t>
      </w:r>
    </w:p>
    <w:p>
      <w:pPr>
        <w:spacing w:after="160"/>
      </w:pPr>
      <w:r>
        <w:rPr>
          <w:rFonts w:ascii="Arial" w:hAnsi="Arial"/>
          <w:sz w:val="48"/>
        </w:rPr>
        <w:t>Functional antagonism captures the concept that therapeutic rescue may be achieved by reversing disease phenotype. A gene LoF producing abnormal electrophysiology can potentially be rescued by perturbations producing opposite electrophysiology. This principle extends to compound therapeutics.</w:t>
      </w:r>
    </w:p>
    <w:p>
      <w:pPr>
        <w:spacing w:after="160"/>
      </w:pPr>
      <w:r>
        <w:rPr>
          <w:rFonts w:ascii="Arial" w:hAnsi="Arial"/>
          <w:sz w:val="48"/>
        </w:rPr>
        <w:t>Distance-based scoring quantifies functional antagonism as negative correlation or cosine distance between reference and candidate profiles. Antipodal profiles have distance measures approaching extreme values (correlation approaching -1, cosine distance approaching 2). Ranking by antagonism strength identifies best candidates.</w:t>
      </w:r>
    </w:p>
    <w:p>
      <w:pPr>
        <w:spacing w:after="160"/>
      </w:pPr>
      <w:r>
        <w:rPr>
          <w:rFonts w:ascii="Arial" w:hAnsi="Arial"/>
          <w:sz w:val="48"/>
        </w:rPr>
        <w:t>Null distribution permutation testing establishes statistical significance. Permuting profile labels generates null distribution of distance scores. Percentile ranking provides p-values for observed antagonism scores.</w:t>
      </w:r>
    </w:p>
    <w:p>
      <w:pPr>
        <w:spacing w:after="160"/>
      </w:pPr>
      <w:r>
        <w:rPr>
          <w:rFonts w:ascii="Arial" w:hAnsi="Arial"/>
          <w:b/>
          <w:sz w:val="48"/>
        </w:rPr>
        <w:t>Inputs:</w:t>
      </w:r>
      <w:r>
        <w:rPr>
          <w:rFonts w:ascii="Arial" w:hAnsi="Arial"/>
          <w:sz w:val="48"/>
        </w:rPr>
        <w:t xml:space="preserve"> (1) Reference EP profile (gene LoF/disease state); (2) All gene perturbation vectors; (3) All compound profiles; (4) Distance/similarity metrics; (5) Antagonism scoring parameters; (6) External target lists (FDA molecules); (7) Protein interaction networks.</w:t>
      </w:r>
    </w:p>
    <w:p>
      <w:pPr>
        <w:spacing w:after="160"/>
      </w:pPr>
      <w:r>
        <w:rPr>
          <w:rFonts w:ascii="Arial" w:hAnsi="Arial"/>
          <w:sz w:val="48"/>
        </w:rPr>
        <w:t>Druggability prediction assesses whether antagonistic genes encode targetable proteins. Lipinski's rule of five predicts oral bioavailability. Target has sequence homology to known drug targets? Is target within druggable genome space? Assessment informs clinical tractability of candidates.</w:t>
      </w:r>
    </w:p>
    <w:p>
      <w:pPr>
        <w:spacing w:after="160"/>
      </w:pPr>
      <w:r>
        <w:rPr>
          <w:rFonts w:ascii="Arial" w:hAnsi="Arial"/>
          <w:sz w:val="48"/>
        </w:rPr>
        <w:t>BBB penetrance prediction determines whether compounds can reach CNS target sites. MDCK cell permeability assays predict BBB Papp values. LogD and TPSA predict passive permeability. Efflux transporter substrate predictions identify compounds pumped out of brain.</w:t>
      </w:r>
    </w:p>
    <w:p>
      <w:pPr>
        <w:spacing w:after="160"/>
      </w:pPr>
      <w:r>
        <w:rPr>
          <w:rFonts w:ascii="Arial" w:hAnsi="Arial"/>
          <w:sz w:val="48"/>
        </w:rPr>
        <w:t>Off-target prediction assesses selectivity. Structural similarity to compounds with known off-target effects predicts candidate liability. Target selectivity relative to homologous proteins determines specificity. Multi-target profiles may indicate polypharmacology potentially beneficial or problematic.</w:t>
      </w:r>
    </w:p>
    <w:p>
      <w:pPr>
        <w:spacing w:after="160"/>
      </w:pPr>
      <w:r>
        <w:rPr>
          <w:rFonts w:ascii="Arial" w:hAnsi="Arial"/>
          <w:b/>
          <w:sz w:val="48"/>
        </w:rPr>
        <w:t>Tools &amp; Databases Called:</w:t>
      </w:r>
      <w:r>
        <w:rPr>
          <w:rFonts w:ascii="Arial" w:hAnsi="Arial"/>
          <w:sz w:val="48"/>
        </w:rPr>
        <w:t xml:space="preserve"> Custom antagonism scoring; scikit-learn distance metrics; Quiver atlas; ChEMBL/PubChem; DrugBank; SwissTargetPrediction; BBB models (Papp, MDCK); Druggability scoring (Lipinski, Veber); STRING PPI; GO annotation; IUPHAR.</w:t>
      </w:r>
    </w:p>
    <w:p>
      <w:pPr>
        <w:spacing w:after="160"/>
      </w:pPr>
      <w:r>
        <w:rPr>
          <w:rFonts w:ascii="Arial" w:hAnsi="Arial"/>
          <w:sz w:val="48"/>
        </w:rPr>
        <w:t>Clinical assessment considers development stage of candidate targets. Validated targets with prior clinical development carry lower risk. Novel targets may offer competitive advantage but carry unknown translational risk. Investment and publication history provide surrogate for validation level.</w:t>
      </w:r>
    </w:p>
    <w:p>
      <w:pPr>
        <w:spacing w:after="160"/>
      </w:pPr>
      <w:r>
        <w:rPr>
          <w:rFonts w:ascii="Arial" w:hAnsi="Arial"/>
          <w:b/>
          <w:sz w:val="48"/>
        </w:rPr>
        <w:t>Exemplary Sub-Prompts:</w:t>
      </w:r>
      <w:r>
        <w:rPr>
          <w:rFonts w:ascii="Arial" w:hAnsi="Arial"/>
          <w:sz w:val="48"/>
        </w:rPr>
        <w:t xml:space="preserve"> "Calculate cosine distance between TSC2 LoF and all ~18k gene perturbations; identify 100 most antipodal genes with p-values"; "Rank antagonistic genes by druggability scores (Lipinski, TPSA, hERG risk)"; "Filter antagonists for BBB penetrance (MDCK Papp, logD) with bootstrap CIs"; "Cross-reference top antagonistic genes with FDA targets"; "Identify FDA compounds functionally similar to antagonist profiles".</w:t>
      </w:r>
    </w:p>
    <w:p>
      <w:pPr>
        <w:spacing w:after="160"/>
      </w:pPr>
      <w:r>
        <w:rPr>
          <w:rFonts w:ascii="Arial" w:hAnsi="Arial"/>
          <w:sz w:val="48"/>
        </w:rPr>
        <w:t>Pathway enrichment analysis on antagonistic gene set reveals functional themes. Over-represented pathways indicate compensatory mechanisms that may be therapeutically important. Sub-pathway analysis identifies specific branch points driving antagonism.</w:t>
      </w:r>
    </w:p>
    <w:p>
      <w:pPr>
        <w:spacing w:after="160"/>
      </w:pPr>
      <w:r>
        <w:rPr>
          <w:rFonts w:ascii="Arial" w:hAnsi="Arial"/>
          <w:sz w:val="48"/>
        </w:rPr>
        <w:t>Protein-protein interaction network analysis reveals multi-target engagement. Antagonistic genes encoding proteins interacting with primary target may provide combination strategy. Network distance metrics assess target proximity.</w:t>
      </w:r>
    </w:p>
    <w:p>
      <w:pPr>
        <w:spacing w:after="160"/>
      </w:pPr>
      <w:r>
        <w:rPr>
          <w:rFonts w:ascii="Arial" w:hAnsi="Arial"/>
          <w:b/>
          <w:sz w:val="48"/>
        </w:rPr>
        <w:t>Expected Outputs:</w:t>
      </w:r>
      <w:r>
        <w:rPr>
          <w:rFonts w:ascii="Arial" w:hAnsi="Arial"/>
          <w:sz w:val="48"/>
        </w:rPr>
        <w:t xml:space="preserve"> (1) Ranked antagonistic genes with scores and p-values; (2) Druggability scores; (3) BBB predictions; (4) FDA-approved scaffolds; (5) Target interaction network; (6) Clinical stage/investment history; (7) Pathway enrichment results; (8) Selectivity profiles.</w:t>
      </w:r>
    </w:p>
    <w:p>
      <w:pPr>
        <w:spacing w:after="160"/>
      </w:pPr>
      <w:r>
        <w:rPr>
          <w:rFonts w:ascii="Arial" w:hAnsi="Arial"/>
          <w:sz w:val="48"/>
        </w:rPr>
        <w:t>Validation strategies for top candidates include functional studies confirming electrophysiological rescue, target engagement assays, and toxicity screening. Phenotypic rescue in disease models (neurodegeneration, seizure, etc) provides ultimate validation.</w:t>
      </w:r>
    </w:p>
    <w:p>
      <w:pPr>
        <w:spacing w:after="160"/>
      </w:pPr>
      <w:r>
        <w:rPr>
          <w:rFonts w:ascii="Arial" w:hAnsi="Arial"/>
          <w:b/>
          <w:sz w:val="48"/>
        </w:rPr>
        <w:t>Format:</w:t>
      </w:r>
      <w:r>
        <w:rPr>
          <w:rFonts w:ascii="Arial" w:hAnsi="Arial"/>
          <w:sz w:val="48"/>
        </w:rPr>
        <w:t xml:space="preserve"> Ranked CSV tables; Network diagrams (Cytoscape format); SDF/MOL files with properties; Pathway enrichment plots; Summary statistics with CIs; Clinical stage tables; Selectivity matrices.</w:t>
      </w:r>
    </w:p>
    <w:p>
      <w:pPr>
        <w:pStyle w:val="Heading2"/>
        <w:spacing w:before="200" w:after="160"/>
      </w:pPr>
      <w:r>
        <w:rPr>
          <w:rFonts w:ascii="Arial" w:hAnsi="Arial"/>
          <w:sz w:val="56"/>
        </w:rPr>
        <w:t>Stage 5: Compound Screening and Hit Identification</w:t>
      </w:r>
    </w:p>
    <w:p>
      <w:pPr>
        <w:spacing w:after="160"/>
      </w:pPr>
      <w:r>
        <w:rPr>
          <w:rFonts w:ascii="Arial" w:hAnsi="Arial"/>
          <w:b/>
          <w:sz w:val="48"/>
        </w:rPr>
        <w:t>Purpose:</w:t>
      </w:r>
      <w:r>
        <w:rPr>
          <w:rFonts w:ascii="Arial" w:hAnsi="Arial"/>
          <w:sz w:val="48"/>
        </w:rPr>
        <w:t xml:space="preserve"> Screen compound library against target phenotypes, rank by rescue strength, and assess developability. This stage integrates EP profiling with cheminformatics and ADMET prediction to identify leads with optimal therapeutic potential. Multi-criteria ranking balances efficacy, safety, feasibility.</w:t>
      </w:r>
    </w:p>
    <w:p>
      <w:pPr>
        <w:spacing w:after="160"/>
      </w:pPr>
      <w:r>
        <w:rPr>
          <w:rFonts w:ascii="Arial" w:hAnsi="Arial"/>
          <w:sz w:val="48"/>
        </w:rPr>
        <w:t>Compound library screening leverages Quiver's ~3,500 compound perturbations with complete electrophysiological characterization. Each compound has been profiled at standardized conditions enabling direct comparison across compounds. Existing data eliminates need for additional screening experiments.</w:t>
      </w:r>
    </w:p>
    <w:p>
      <w:pPr>
        <w:spacing w:after="160"/>
      </w:pPr>
      <w:r>
        <w:rPr>
          <w:rFonts w:ascii="Arial" w:hAnsi="Arial"/>
          <w:sz w:val="48"/>
        </w:rPr>
        <w:t>Rescue scoring quantifies how closely compound profiles match desired phenotype or antagonistic gene profiles. Similarity metrics range from 0 (completely dissimilar) to 1 (identical). Ranking compounds by rescue score identifies therapeutic leads.</w:t>
      </w:r>
    </w:p>
    <w:p>
      <w:pPr>
        <w:spacing w:after="160"/>
      </w:pPr>
      <w:r>
        <w:rPr>
          <w:rFonts w:ascii="Arial" w:hAnsi="Arial"/>
          <w:sz w:val="48"/>
        </w:rPr>
        <w:t>Multi-criteria ranking integrates rescue activity with drug-like properties and clinical stage. Compounds with optimal rescue activity, good ADMET properties, and potential for rapid development receive highest overall scores. Pareto frontier analysis identifies non-dominated candidates balancing multiple objectives.</w:t>
      </w:r>
    </w:p>
    <w:p>
      <w:pPr>
        <w:spacing w:after="160"/>
      </w:pPr>
      <w:r>
        <w:rPr>
          <w:rFonts w:ascii="Arial" w:hAnsi="Arial"/>
          <w:b/>
          <w:sz w:val="48"/>
        </w:rPr>
        <w:t>Inputs:</w:t>
      </w:r>
      <w:r>
        <w:rPr>
          <w:rFonts w:ascii="Arial" w:hAnsi="Arial"/>
          <w:sz w:val="48"/>
        </w:rPr>
        <w:t xml:space="preserve"> (1) Disease/target phenotype EP profile; (2) Compound profiles (~3.5k); (3) Chemical structures and SMILES; (4) ADMET properties; (5) Target engagement data; (6) Clinical stage history; (7) Synthetic accessibility/COGS.</w:t>
      </w:r>
    </w:p>
    <w:p>
      <w:pPr>
        <w:spacing w:after="160"/>
      </w:pPr>
      <w:r>
        <w:rPr>
          <w:rFonts w:ascii="Arial" w:hAnsi="Arial"/>
          <w:sz w:val="48"/>
        </w:rPr>
        <w:t>ADMET prediction assesses absorption, distribution, metabolism, excretion, toxicity. Lipinski's rule of five filters for oral bioavailability: logD&lt;5, MW&lt;500, HBD&lt;5, HBA&lt;10. Violations don't preclude efficacy but suggest modified delivery strategies (e.g., IV, intranasal).</w:t>
      </w:r>
    </w:p>
    <w:p>
      <w:pPr>
        <w:spacing w:after="160"/>
      </w:pPr>
      <w:r>
        <w:rPr>
          <w:rFonts w:ascii="Arial" w:hAnsi="Arial"/>
          <w:sz w:val="48"/>
        </w:rPr>
        <w:t>hERG inhibition risk assessment is critical safety criterion. hERG (potassium channel) inhibition causes QT prolongation and cardiac arrhythmias. IC50 values &gt;10µM generally considered acceptable, though risk depends on clinical dosing. Structure alerts identify known hERG liabilities.</w:t>
      </w:r>
    </w:p>
    <w:p>
      <w:pPr>
        <w:spacing w:after="160"/>
      </w:pPr>
      <w:r>
        <w:rPr>
          <w:rFonts w:ascii="Arial" w:hAnsi="Arial"/>
          <w:sz w:val="48"/>
        </w:rPr>
        <w:t>BBB penetrance assessment determines whether compounds reach CNS. MDCK cell permeability and PAMPA assays measure passive permeability. efflux ratios identify transporter substrates. Target CNS indications require BBB penetrant compounds, while peripheral targets may not.</w:t>
      </w:r>
    </w:p>
    <w:p>
      <w:pPr>
        <w:spacing w:after="160"/>
      </w:pPr>
      <w:r>
        <w:rPr>
          <w:rFonts w:ascii="Arial" w:hAnsi="Arial"/>
          <w:b/>
          <w:sz w:val="48"/>
        </w:rPr>
        <w:t>Tools &amp; Databases Called:</w:t>
      </w:r>
      <w:r>
        <w:rPr>
          <w:rFonts w:ascii="Arial" w:hAnsi="Arial"/>
          <w:sz w:val="48"/>
        </w:rPr>
        <w:t xml:space="preserve"> Quiver atlas; RDKit; SwissADME; PreADMET; MetaboLights; PubChem; ChEMBL; BBB models; Off-target prediction; Lilly MCE filter; CYP/transporter predictions.</w:t>
      </w:r>
    </w:p>
    <w:p>
      <w:pPr>
        <w:spacing w:after="160"/>
      </w:pPr>
      <w:r>
        <w:rPr>
          <w:rFonts w:ascii="Arial" w:hAnsi="Arial"/>
          <w:sz w:val="48"/>
        </w:rPr>
        <w:t>Structural novelty assessment compares compounds against known drugs. Tanimoto similarity metric quantifies structural relationship (0=completely different, 1=identical). Compounds with low average similarity to known drugs are structurally novel, potentially enabling patent protection and first-mover advantage.</w:t>
      </w:r>
    </w:p>
    <w:p>
      <w:pPr>
        <w:spacing w:after="160"/>
      </w:pPr>
      <w:r>
        <w:rPr>
          <w:rFonts w:ascii="Arial" w:hAnsi="Arial"/>
          <w:sz w:val="48"/>
        </w:rPr>
        <w:t>Synthetic accessibility scoring predicts difficulty of chemical synthesis. Compounds with high synthetic accessibility can be rapidly optimized. Compounds requiring multi-step synthesis with rare reagents may slow development timelines.</w:t>
      </w:r>
    </w:p>
    <w:p>
      <w:pPr>
        <w:spacing w:after="160"/>
      </w:pPr>
      <w:r>
        <w:rPr>
          <w:rFonts w:ascii="Arial" w:hAnsi="Arial"/>
          <w:sz w:val="48"/>
        </w:rPr>
        <w:t>Cost of goods (COGS) estimation predicts manufacturing cost. Active pharmaceutical ingredients (APIs) from readily available starting materials and simple synthesis have lower COGS. COGS affects commercial viability and market price ceiling.</w:t>
      </w:r>
    </w:p>
    <w:p>
      <w:pPr>
        <w:spacing w:after="160"/>
      </w:pPr>
      <w:r>
        <w:rPr>
          <w:rFonts w:ascii="Arial" w:hAnsi="Arial"/>
          <w:b/>
          <w:sz w:val="48"/>
        </w:rPr>
        <w:t>Exemplary Sub-Prompts:</w:t>
      </w:r>
      <w:r>
        <w:rPr>
          <w:rFonts w:ascii="Arial" w:hAnsi="Arial"/>
          <w:sz w:val="48"/>
        </w:rPr>
        <w:t xml:space="preserve"> "Rank all ~3.5k compounds by rescue activity in TSC2 neurons with confidence scoring"; "Filter for drug-like properties: logD 1-4, PSA &lt;120, hERG &gt;10µM, minimal CYP inhibition"; "Score by structural novelty relative to known drugs"; "Identify disease-modifying compounds with minimal historical investment"; "Predict off-target liabilities for top 50 compounds".</w:t>
      </w:r>
    </w:p>
    <w:p>
      <w:pPr>
        <w:spacing w:after="160"/>
      </w:pPr>
      <w:r>
        <w:rPr>
          <w:rFonts w:ascii="Arial" w:hAnsi="Arial"/>
          <w:sz w:val="48"/>
        </w:rPr>
        <w:t>Off-target activity prediction uses structural similarity to known toxicophores. Compounds similar to drugs with known safety issues inherit those risks. Kinase selectivity panels predict engagement of unintended kinase targets.</w:t>
      </w:r>
    </w:p>
    <w:p>
      <w:pPr>
        <w:spacing w:after="160"/>
      </w:pPr>
      <w:r>
        <w:rPr>
          <w:rFonts w:ascii="Arial" w:hAnsi="Arial"/>
          <w:sz w:val="48"/>
        </w:rPr>
        <w:t>Clinical stage assessment determines development timeline feasibility. Compounds in advanced stages (Phase 2/3) may enter fast-track partnering. Early-stage compounds require significant additional investment before clinical evaluation.</w:t>
      </w:r>
    </w:p>
    <w:p>
      <w:pPr>
        <w:spacing w:after="160"/>
      </w:pPr>
      <w:r>
        <w:rPr>
          <w:rFonts w:ascii="Arial" w:hAnsi="Arial"/>
          <w:b/>
          <w:sz w:val="48"/>
        </w:rPr>
        <w:t>Expected Outputs:</w:t>
      </w:r>
      <w:r>
        <w:rPr>
          <w:rFonts w:ascii="Arial" w:hAnsi="Arial"/>
          <w:sz w:val="48"/>
        </w:rPr>
        <w:t xml:space="preserve"> (1) Ranked compound list by rescue strength with CIs; (2) ADMET and BBB predictions; (3) Structural clustering and novelty; (4) Off-target risks; (5) Clinical stage/investment history; (6) SAR optimization suggestions; (7) Synthetic accessibility/COGS; (8) Multi-criteria scoring.</w:t>
      </w:r>
    </w:p>
    <w:p>
      <w:pPr>
        <w:spacing w:after="160"/>
      </w:pPr>
      <w:r>
        <w:rPr>
          <w:rFonts w:ascii="Arial" w:hAnsi="Arial"/>
          <w:sz w:val="48"/>
        </w:rPr>
        <w:t>Pareto frontier visualization shows trade-offs between rescue activity and drug-likeness. Compounds on frontier represent optimal balance. Compounds significantly sub-optimal on all criteria can be deprioritized.</w:t>
      </w:r>
    </w:p>
    <w:p>
      <w:pPr>
        <w:spacing w:after="160"/>
      </w:pPr>
      <w:r>
        <w:rPr>
          <w:rFonts w:ascii="Arial" w:hAnsi="Arial"/>
          <w:b/>
          <w:sz w:val="48"/>
        </w:rPr>
        <w:t>Format:</w:t>
      </w:r>
      <w:r>
        <w:rPr>
          <w:rFonts w:ascii="Arial" w:hAnsi="Arial"/>
          <w:sz w:val="48"/>
        </w:rPr>
        <w:t xml:space="preserve"> Ranked CSV with EP scores, ADMET, BBB; Cluster dendrograms; SDF files with properties; Risk heatmaps; Executive summaries; SAR diagrams; Pareto frontier plots; Novelty assessments.</w:t>
      </w:r>
    </w:p>
    <w:p>
      <w:pPr>
        <w:pStyle w:val="Heading2"/>
        <w:spacing w:before="200" w:after="160"/>
      </w:pPr>
      <w:r>
        <w:rPr>
          <w:rFonts w:ascii="Arial" w:hAnsi="Arial"/>
          <w:sz w:val="56"/>
        </w:rPr>
        <w:t>Stage 6: Scaffold Optimization and Clinical Translation</w:t>
      </w:r>
    </w:p>
    <w:p>
      <w:pPr>
        <w:spacing w:after="160"/>
      </w:pPr>
      <w:r>
        <w:rPr>
          <w:rFonts w:ascii="Arial" w:hAnsi="Arial"/>
          <w:b/>
          <w:sz w:val="48"/>
        </w:rPr>
        <w:t>Purpose:</w:t>
      </w:r>
      <w:r>
        <w:rPr>
          <w:rFonts w:ascii="Arial" w:hAnsi="Arial"/>
          <w:sz w:val="48"/>
        </w:rPr>
        <w:t xml:space="preserve"> Design novel scaffolds based on successful series, optimize for selectivity/safety, and assess translational feasibility. This stage bridges lead discovery with preclinical/clinical development. Regulatory alignment ensures proposed development strategies match agency expectations.</w:t>
      </w:r>
    </w:p>
    <w:p>
      <w:pPr>
        <w:spacing w:after="160"/>
      </w:pPr>
      <w:r>
        <w:rPr>
          <w:rFonts w:ascii="Arial" w:hAnsi="Arial"/>
          <w:sz w:val="48"/>
        </w:rPr>
        <w:t>Scaffold optimization begins with analysis of successful lead compounds. Compound series sharing common chemical scaffolds often have similar activity and safety profiles. Identifying core scaffold enables rational design of analogs with improved properties.</w:t>
      </w:r>
    </w:p>
    <w:p>
      <w:pPr>
        <w:spacing w:after="160"/>
      </w:pPr>
      <w:r>
        <w:rPr>
          <w:rFonts w:ascii="Arial" w:hAnsi="Arial"/>
          <w:sz w:val="48"/>
        </w:rPr>
        <w:t>Matched molecular pairs (MMP) analysis quantifies structure-activity relationships. Systematic changes to chemical structure and corresponding activity changes inform medicinal chemistry strategy. MMPs with clear activity differences guide optimization priorities.</w:t>
      </w:r>
    </w:p>
    <w:p>
      <w:pPr>
        <w:spacing w:after="160"/>
      </w:pPr>
      <w:r>
        <w:rPr>
          <w:rFonts w:ascii="Arial" w:hAnsi="Arial"/>
          <w:sz w:val="48"/>
        </w:rPr>
        <w:t>De novo scaffold generation creates novel structures predicted to maintain efficacy while improving selectivity or safety. Constraint-based design ensures hypothetical scaffolds satisfy drug-likeness and synthetic accessibility criteria. Top scaffolds undergo detailed evaluation.</w:t>
      </w:r>
    </w:p>
    <w:p>
      <w:pPr>
        <w:spacing w:after="160"/>
      </w:pPr>
      <w:r>
        <w:rPr>
          <w:rFonts w:ascii="Arial" w:hAnsi="Arial"/>
          <w:b/>
          <w:sz w:val="48"/>
        </w:rPr>
        <w:t>Inputs:</w:t>
      </w:r>
      <w:r>
        <w:rPr>
          <w:rFonts w:ascii="Arial" w:hAnsi="Arial"/>
          <w:sz w:val="48"/>
        </w:rPr>
        <w:t xml:space="preserve"> (1) Lead compounds and structures; (2) Target/off-target selectivity profiles; (3) SAR data; (4) Desired selectivity profile; (5) IND-enabling requirements; (6) FDA/EMA guidance; (7) Monogenic disease data; (8) Synthesis cost/scalability.</w:t>
      </w:r>
    </w:p>
    <w:p>
      <w:pPr>
        <w:spacing w:after="160"/>
      </w:pPr>
      <w:r>
        <w:rPr>
          <w:rFonts w:ascii="Arial" w:hAnsi="Arial"/>
          <w:sz w:val="48"/>
        </w:rPr>
        <w:t>ASO (antisense oligonucleotide) design provides alternative therapeutic modality for genetic targets. ASO sequences bind to mRNA target reducing expression. Custom design optimizes on-target binding while minimizing off-targets. Chemistry modifications enhance cellular uptake and stability.</w:t>
      </w:r>
    </w:p>
    <w:p>
      <w:pPr>
        <w:spacing w:after="160"/>
      </w:pPr>
      <w:r>
        <w:rPr>
          <w:rFonts w:ascii="Arial" w:hAnsi="Arial"/>
          <w:sz w:val="48"/>
        </w:rPr>
        <w:t>IND (Investigational New Drug) enabling studies are required before human testing. GLP toxicology studies (typically 28 or 90 day dosing in animal models) establish maximum tolerated dose. PK studies characterize absorption, distribution, metabolism, excretion. Safety pharmacology assesses cardiac safety, hemodynamics, etc.</w:t>
      </w:r>
    </w:p>
    <w:p>
      <w:pPr>
        <w:spacing w:after="160"/>
      </w:pPr>
      <w:r>
        <w:rPr>
          <w:rFonts w:ascii="Arial" w:hAnsi="Arial"/>
          <w:sz w:val="48"/>
        </w:rPr>
        <w:t>IND timeline estimation aggregates duration of required studies. GLP tox typically requires 6 months, PK studies 2-3 months, safety pharmacology 1-2 months, regulatory preparation 1-2 months. Total timeline typically 12-16 months. Parallel execution of independent studies reduces critical path.</w:t>
      </w:r>
    </w:p>
    <w:p>
      <w:pPr>
        <w:spacing w:after="160"/>
      </w:pPr>
      <w:r>
        <w:rPr>
          <w:rFonts w:ascii="Arial" w:hAnsi="Arial"/>
          <w:b/>
          <w:sz w:val="48"/>
        </w:rPr>
        <w:t>Tools &amp; Databases Called:</w:t>
      </w:r>
      <w:r>
        <w:rPr>
          <w:rFonts w:ascii="Arial" w:hAnsi="Arial"/>
          <w:sz w:val="48"/>
        </w:rPr>
        <w:t xml:space="preserve"> RDKit; MOE; BIOVIA; Lilly MCE; SwissTargetPrediction; ClinicalTrials.gov API; FDA timeline database; ASO platforms (Ionis, Gal Era); Toxicity models (ToxExpress, PharmaGist); Tox21; SMILES generators.</w:t>
      </w:r>
    </w:p>
    <w:p>
      <w:pPr>
        <w:spacing w:after="160"/>
      </w:pPr>
      <w:r>
        <w:rPr>
          <w:rFonts w:ascii="Arial" w:hAnsi="Arial"/>
          <w:sz w:val="48"/>
        </w:rPr>
        <w:t>Regulatory strategy selection considers fast-track designation (accelerated review), breakthrough therapy status (demonstrated substantial improvement), orphan drug status (rare diseases). Each designation requires specific evidence and provides benefits (fee waiver, priority review).</w:t>
      </w:r>
    </w:p>
    <w:p>
      <w:pPr>
        <w:spacing w:after="160"/>
      </w:pPr>
      <w:r>
        <w:rPr>
          <w:rFonts w:ascii="Arial" w:hAnsi="Arial"/>
          <w:sz w:val="48"/>
        </w:rPr>
        <w:t>Probability of clinical success (PoC) estimation integrates mechanism validation, target validation, competitive landscape, market size. Literature data on compounds targeting similar mechanisms provides benchmarks. PoC probability decreases significantly with clinical development stage.</w:t>
      </w:r>
    </w:p>
    <w:p>
      <w:pPr>
        <w:spacing w:after="160"/>
      </w:pPr>
      <w:r>
        <w:rPr>
          <w:rFonts w:ascii="Arial" w:hAnsi="Arial"/>
          <w:sz w:val="48"/>
        </w:rPr>
        <w:t>Competitive landscape analysis identifies other drugs targeting same mechanism or target. First-to-market drugs establish standard of care. Follower drugs must demonstrate superiority (better efficacy, safety, convenience, pricing). Landscape crowding reduces PoC probability and commercial potential.</w:t>
      </w:r>
    </w:p>
    <w:p>
      <w:pPr>
        <w:spacing w:after="160"/>
      </w:pPr>
      <w:r>
        <w:rPr>
          <w:rFonts w:ascii="Arial" w:hAnsi="Arial"/>
          <w:b/>
          <w:sz w:val="48"/>
        </w:rPr>
        <w:t>Exemplary Sub-Prompts:</w:t>
      </w:r>
      <w:r>
        <w:rPr>
          <w:rFonts w:ascii="Arial" w:hAnsi="Arial"/>
          <w:sz w:val="48"/>
        </w:rPr>
        <w:t xml:space="preserve"> "Generate 20 novel scaffolds similar to compound cluster Y with improved selectivity over kinase X using MMP analysis"; "Design ASO targeting neurodegeneration gene A with optimized PK"; "Estimate IND timeline: GLP tox (6mo), PK (3mo), safety pharm (2mo), reg (2mo)~13mo"; "Evaluate scaffold druggability and COGS for 100kg manufacturing"; "Predict PoC probability based on mechanism, target, competitive landscape".</w:t>
      </w:r>
    </w:p>
    <w:p>
      <w:pPr>
        <w:spacing w:after="160"/>
      </w:pPr>
      <w:r>
        <w:rPr>
          <w:rFonts w:ascii="Arial" w:hAnsi="Arial"/>
          <w:sz w:val="48"/>
        </w:rPr>
        <w:t>Translational validation strategies are proposed for promising candidates. Functional studies in disease models (toxin-induced neurodegeneration, transgenic disease models) provide efficacy evidence. Target engagement studies using biochemical or imaging assays confirm proposed mechanism.</w:t>
      </w:r>
    </w:p>
    <w:p>
      <w:pPr>
        <w:spacing w:after="160"/>
      </w:pPr>
      <w:r>
        <w:rPr>
          <w:rFonts w:ascii="Arial" w:hAnsi="Arial"/>
          <w:sz w:val="48"/>
        </w:rPr>
        <w:t>Value assessment estimates net present value (NPV) considering development costs, probability of success, market size, and royalty rates. Breakeven analysis determines required annual peak sales to recover development investment. Sensitivity analysis evaluates robustness to parameter uncertainty.</w:t>
      </w:r>
    </w:p>
    <w:p>
      <w:pPr>
        <w:spacing w:after="160"/>
      </w:pPr>
      <w:r>
        <w:rPr>
          <w:rFonts w:ascii="Arial" w:hAnsi="Arial"/>
          <w:b/>
          <w:sz w:val="48"/>
        </w:rPr>
        <w:t>Expected Outputs:</w:t>
      </w:r>
      <w:r>
        <w:rPr>
          <w:rFonts w:ascii="Arial" w:hAnsi="Arial"/>
          <w:sz w:val="48"/>
        </w:rPr>
        <w:t xml:space="preserve"> (1) Novel scaffold designs with predicted ADMET/selectivity; (2) Selectivity matrices vs off-targets; (3) Synthetic route feasibility; (4) COGS estimates at manufacturing scales; (5) ASO sequences with PK predictions; (6) IND timeline with milestones; (7) Clinical strategy; (8) PoC probability projections.</w:t>
      </w:r>
    </w:p>
    <w:p>
      <w:pPr>
        <w:spacing w:after="160"/>
      </w:pPr>
      <w:r>
        <w:rPr>
          <w:rFonts w:ascii="Arial" w:hAnsi="Arial"/>
          <w:sz w:val="48"/>
        </w:rPr>
        <w:t>Go/no-go recommendations balance scientific attractiveness with commercial viability and risk. Candidates proceeding to development require executive approval and resource allocation. Decision criteria and underlying assumptions are explicitly documented for future reference.</w:t>
      </w:r>
    </w:p>
    <w:p>
      <w:pPr>
        <w:spacing w:after="160"/>
      </w:pPr>
      <w:r>
        <w:rPr>
          <w:rFonts w:ascii="Arial" w:hAnsi="Arial"/>
          <w:sz w:val="48"/>
        </w:rPr>
        <w:t>Quality assurance processes ensure reproducibility of results across replicate analyses. Re-analysis of random subsamples with alternative software implementations confirms robustness of findings. Documentation standards enable independent verification of computational results.</w:t>
      </w:r>
    </w:p>
    <w:p>
      <w:pPr>
        <w:spacing w:after="160"/>
      </w:pPr>
      <w:r>
        <w:rPr>
          <w:rFonts w:ascii="Arial" w:hAnsi="Arial"/>
          <w:sz w:val="48"/>
        </w:rPr>
        <w:t>Computational performance optimization balances runtime against accuracy. For datasets with thousands of features, algorithmic efficiency is critical. Vectorized operations using numpy and parallel processing using joblib significantly reduce computational burden compared to naive implementation.</w:t>
      </w:r>
    </w:p>
    <w:p>
      <w:pPr>
        <w:spacing w:after="160"/>
      </w:pPr>
      <w:r>
        <w:rPr>
          <w:rFonts w:ascii="Arial" w:hAnsi="Arial"/>
          <w:sz w:val="48"/>
        </w:rPr>
        <w:t>Missing data handling strategies are evaluated for sensitivity. Multiple imputation generates multiple complete datasets and combines results using Rubin's rules for valid inference. Sensitivity analyses compare results under different imputation assumptions.</w:t>
      </w:r>
    </w:p>
    <w:p>
      <w:pPr>
        <w:spacing w:after="160"/>
      </w:pPr>
      <w:r>
        <w:rPr>
          <w:rFonts w:ascii="Arial" w:hAnsi="Arial"/>
          <w:sz w:val="48"/>
        </w:rPr>
        <w:t>Outlier detection methods are compared for concordance. Genes identified as outliers by multiple independent methods are considered robustly anomalous. Single-method outliers warrant careful interpretation.</w:t>
      </w:r>
    </w:p>
    <w:p>
      <w:pPr>
        <w:spacing w:after="160"/>
      </w:pPr>
      <w:r>
        <w:rPr>
          <w:rFonts w:ascii="Arial" w:hAnsi="Arial"/>
          <w:sz w:val="48"/>
        </w:rPr>
        <w:t>Feature selection for classification minimizes dimensionality while preserving discriminatory information. Recursive feature elimination progressively removes least-important features. Cross-validation prevents overfitting in feature selection process.</w:t>
      </w:r>
    </w:p>
    <w:p>
      <w:pPr>
        <w:spacing w:after="160"/>
      </w:pPr>
      <w:r>
        <w:rPr>
          <w:rFonts w:ascii="Arial" w:hAnsi="Arial"/>
          <w:sz w:val="48"/>
        </w:rPr>
        <w:t>Model interpretability is prioritized alongside predictive accuracy. Linear models (logistic regression) provide coefficient-based interpretation. Tree-based models reveal decision rules in human-interpretable format. SHAP values provide model-agnostic feature importance.</w:t>
      </w:r>
    </w:p>
    <w:p>
      <w:pPr>
        <w:spacing w:after="160"/>
      </w:pPr>
      <w:r>
        <w:rPr>
          <w:rFonts w:ascii="Arial" w:hAnsi="Arial"/>
          <w:sz w:val="48"/>
        </w:rPr>
        <w:t>Hyperparameter tuning employs grid search or random search within cross-validation framework. Nested cross-validation prevents selection bias in performance estimates. Bayesian optimization efficiently explores parameter space for computationally expensive models.</w:t>
      </w:r>
    </w:p>
    <w:p>
      <w:pPr>
        <w:spacing w:after="160"/>
      </w:pPr>
      <w:r>
        <w:rPr>
          <w:rFonts w:ascii="Arial" w:hAnsi="Arial"/>
          <w:sz w:val="48"/>
        </w:rPr>
        <w:t>Ensemble methods combine multiple base learners to reduce variance. Random forest aggregates predictions across bootstrap samples and random feature subsets. Gradient boosting sequentially trains learners on residuals of previous models.</w:t>
      </w:r>
    </w:p>
    <w:p>
      <w:pPr>
        <w:spacing w:after="160"/>
      </w:pPr>
      <w:r>
        <w:rPr>
          <w:rFonts w:ascii="Arial" w:hAnsi="Arial"/>
          <w:sz w:val="48"/>
        </w:rPr>
        <w:t>Statistical power analysis ensures adequate sample size for hypothesis testing. Effect size estimation quantifies magnitude of differences. Sample size requirements depend on desired power, effect size, and significance level.</w:t>
      </w:r>
    </w:p>
    <w:p>
      <w:pPr>
        <w:spacing w:after="160"/>
      </w:pPr>
      <w:r>
        <w:rPr>
          <w:rFonts w:ascii="Arial" w:hAnsi="Arial"/>
          <w:sz w:val="48"/>
        </w:rPr>
        <w:t>Multiple testing correction controls family-wise error rate or false discovery rate. Bonferroni correction divides significance threshold by number of tests. Benjamini-Hochberg FDR control is less conservative, more powerful for exploratory analyses.</w:t>
      </w:r>
    </w:p>
    <w:p>
      <w:pPr>
        <w:spacing w:after="160"/>
      </w:pPr>
      <w:r>
        <w:rPr>
          <w:rFonts w:ascii="Arial" w:hAnsi="Arial"/>
          <w:sz w:val="48"/>
        </w:rPr>
        <w:t>Confidence intervals quantify uncertainty in point estimates. Bootstrap resampling generates empirical confidence intervals without distributional assumptions. Percentile method, bias-corrected accelerated (BCa), and studentized bootstrap are commonly used.</w:t>
      </w:r>
    </w:p>
    <w:p>
      <w:pPr>
        <w:spacing w:after="160"/>
      </w:pPr>
      <w:r>
        <w:rPr>
          <w:rFonts w:ascii="Arial" w:hAnsi="Arial"/>
          <w:sz w:val="48"/>
        </w:rPr>
        <w:t>Effect size estimation complements p-values by quantifying practical significance. Cohen's d for continuous outcomes, Cramer's V for categorical outcomes, eta-squared for ANOVA. Small p-values may not indicate large effects with large sample sizes.</w:t>
      </w:r>
    </w:p>
    <w:p>
      <w:pPr>
        <w:spacing w:after="160"/>
      </w:pPr>
      <w:r>
        <w:rPr>
          <w:rFonts w:ascii="Arial" w:hAnsi="Arial"/>
          <w:sz w:val="48"/>
        </w:rPr>
        <w:t>Data visualization accelerates interpretation and communication. High-dimensional data is often visualized using dimensionality reduction (PCA, t-SNE, UMAP). Color, size, and shape encode multiple variables simultaneously.</w:t>
      </w:r>
    </w:p>
    <w:p>
      <w:pPr>
        <w:spacing w:after="160"/>
      </w:pPr>
      <w:r>
        <w:rPr>
          <w:rFonts w:ascii="Arial" w:hAnsi="Arial"/>
          <w:sz w:val="48"/>
        </w:rPr>
        <w:t>Reproducibility is enhanced through version control of code and documentation of environment (package versions, random seeds). Containerization using Docker enables reproduction in identical computational environments. Open science practices promote transparency and enable independent verification.</w:t>
      </w:r>
    </w:p>
    <w:p>
      <w:pPr>
        <w:spacing w:after="160"/>
      </w:pPr>
      <w:r>
        <w:rPr>
          <w:rFonts w:ascii="Arial" w:hAnsi="Arial"/>
          <w:sz w:val="48"/>
        </w:rPr>
        <w:t>Computational reproducibility requires recording all parameter choices, random seeds, and software versions. Notebooks (Jupyter, Rmarkdown) interleave code, results, and narrative explanation. Literate programming enables understanding of analytical decisions.</w:t>
      </w:r>
    </w:p>
    <w:p>
      <w:pPr>
        <w:spacing w:after="160"/>
      </w:pPr>
      <w:r>
        <w:rPr>
          <w:rFonts w:ascii="Arial" w:hAnsi="Arial"/>
          <w:sz w:val="48"/>
        </w:rPr>
        <w:t>Benchmarking against gold-standard datasets establishes method validity. Published datasets with known ground truth enable comparison of method performance. Simulated datasets with known properties test method robustness to violations of assumptions.</w:t>
      </w:r>
    </w:p>
    <w:p>
      <w:pPr>
        <w:spacing w:after="160"/>
      </w:pPr>
      <w:r>
        <w:rPr>
          <w:rFonts w:ascii="Arial" w:hAnsi="Arial"/>
          <w:sz w:val="48"/>
        </w:rPr>
        <w:t>Sensitivity analyses assess robustness of conclusions to parameter choices and methodological assumptions. Alternative distance metrics, clustering algorithms, and thresholds are evaluated. Results consistent across multiple approaches build confidence in conclusions.</w:t>
      </w:r>
    </w:p>
    <w:p>
      <w:pPr>
        <w:spacing w:after="160"/>
      </w:pPr>
      <w:r>
        <w:rPr>
          <w:rFonts w:ascii="Arial" w:hAnsi="Arial"/>
          <w:sz w:val="48"/>
        </w:rPr>
        <w:t>Machine learning model validation distinguishes test performance from training performance. Holdout test sets, cross-validation, or bootstrap provide unbiased performance estimates. Learning curves show how performance scales with training set size.</w:t>
      </w:r>
    </w:p>
    <w:p>
      <w:pPr>
        <w:spacing w:after="160"/>
      </w:pPr>
      <w:r>
        <w:rPr>
          <w:rFonts w:ascii="Arial" w:hAnsi="Arial"/>
          <w:sz w:val="48"/>
        </w:rPr>
        <w:t>Overfitting occurs when models memorize training data rather than learning generalizable patterns. Regularization (L1/L2 penalties, early stopping) prevents overfitting. Bias-variance tradeoff balances model complexity against generalization error.</w:t>
      </w:r>
    </w:p>
    <w:p>
      <w:pPr>
        <w:spacing w:after="160"/>
      </w:pPr>
      <w:r>
        <w:rPr>
          <w:rFonts w:ascii="Arial" w:hAnsi="Arial"/>
          <w:sz w:val="48"/>
        </w:rPr>
        <w:t>Class imbalance in classification tasks biases models toward majority class. Resampling techniques (oversampling, undersampling, SMOTE) create balanced training sets. Cost-sensitive learning assigns higher misclassification costs to minority class.</w:t>
      </w:r>
    </w:p>
    <w:p>
      <w:pPr>
        <w:spacing w:after="160"/>
      </w:pPr>
      <w:r>
        <w:rPr>
          <w:rFonts w:ascii="Arial" w:hAnsi="Arial"/>
          <w:sz w:val="48"/>
        </w:rPr>
        <w:t>Domain expertise integration with computational analysis improves result interpretation. Subject matter experts validate findings against biological knowledge. Unexpected results often reveal novel biology rather than computational errors.</w:t>
      </w:r>
    </w:p>
    <w:p>
      <w:pPr>
        <w:spacing w:after="160"/>
      </w:pPr>
      <w:r>
        <w:rPr>
          <w:rFonts w:ascii="Arial" w:hAnsi="Arial"/>
          <w:sz w:val="48"/>
        </w:rPr>
        <w:t>Stakeholder communication emphasizes actionable insights from technical results. Executive summaries distill findings for non-technical audiences. Uncertainty quantification enables informed decision-making despite imperfect knowledge.</w:t>
      </w:r>
    </w:p>
    <w:p>
      <w:pPr>
        <w:spacing w:after="160"/>
      </w:pPr>
      <w:r>
        <w:rPr>
          <w:rFonts w:ascii="Arial" w:hAnsi="Arial"/>
          <w:sz w:val="48"/>
        </w:rPr>
        <w:t>Integration with external knowledge bases enriches findings. Pathway databases provide functional context. Protein interaction networks reveal mechanistic hypotheses. Clinical trial data informs translational feasibility assessment.</w:t>
      </w:r>
    </w:p>
    <w:p>
      <w:pPr>
        <w:spacing w:after="160"/>
      </w:pPr>
      <w:r>
        <w:rPr>
          <w:rFonts w:ascii="Arial" w:hAnsi="Arial"/>
          <w:sz w:val="48"/>
        </w:rPr>
        <w:t>Longitudinal validation monitors performance of predictions over time. Retrospective validation uses historical data to test predictive accuracy. Prospective validation applies models to new data collected after model development.</w:t>
      </w:r>
    </w:p>
    <w:p>
      <w:pPr>
        <w:spacing w:after="160"/>
      </w:pPr>
      <w:r>
        <w:rPr>
          <w:rFonts w:ascii="Arial" w:hAnsi="Arial"/>
          <w:sz w:val="48"/>
        </w:rPr>
        <w:t>Biological replication across independent experiments strengthens findings. Technical replicates assess measurement precision. Biological replicates from different cell cultures or organisms assess generalizability.</w:t>
      </w:r>
    </w:p>
    <w:p>
      <w:pPr>
        <w:spacing w:after="160"/>
      </w:pPr>
      <w:r>
        <w:rPr>
          <w:rFonts w:ascii="Arial" w:hAnsi="Arial"/>
          <w:sz w:val="48"/>
        </w:rPr>
        <w:t>Cost-benefit analysis weighs analysis rigor against resource constraints. Prioritization focuses limited computational resources on highest-impact questions. Incremental improvements beyond certain thresholds may not justify increased cost.</w:t>
      </w:r>
    </w:p>
    <w:p>
      <w:pPr>
        <w:spacing w:after="160"/>
      </w:pPr>
      <w:r>
        <w:rPr>
          <w:rFonts w:ascii="Arial" w:hAnsi="Arial"/>
          <w:sz w:val="48"/>
        </w:rPr>
        <w:t>Continuous improvement processes iteratively refine analysis pipelines. Feedback from results influences subsequent analyses. New methods are evaluated for potential improvements in accuracy, efficiency, or interpretability.</w:t>
      </w:r>
    </w:p>
    <w:p>
      <w:pPr>
        <w:spacing w:after="160"/>
      </w:pPr>
      <w:r>
        <w:rPr>
          <w:rFonts w:ascii="Arial" w:hAnsi="Arial"/>
          <w:sz w:val="48"/>
        </w:rPr>
        <w:t>Knowledge transfer disseminates pipeline capabilities across organization. Training sessions enable other researchers to apply methods. Documentation and examples facilitate adoption of successful approaches.</w:t>
      </w:r>
    </w:p>
    <w:p>
      <w:pPr>
        <w:spacing w:after="160"/>
      </w:pPr>
      <w:r>
        <w:rPr>
          <w:rFonts w:ascii="Arial" w:hAnsi="Arial"/>
          <w:sz w:val="48"/>
        </w:rPr>
        <w:t>Long-term sustainability requires maintainability of code and documentation. Technical debt accumulation slows development if not addressed. Regular refactoring improves code quality and reduces maintenance burden.</w:t>
      </w:r>
    </w:p>
    <w:p>
      <w:pPr>
        <w:spacing w:after="160"/>
      </w:pPr>
      <w:r>
        <w:rPr>
          <w:rFonts w:ascii="Arial" w:hAnsi="Arial"/>
          <w:sz w:val="48"/>
        </w:rPr>
        <w:t>Innovation in analytical methods advances the field. Novel distance metrics, clustering algorithms, or machine learning approaches may better capture biological relationships. Academic collaborations bring cutting-edge methods to therapeutic discovery.</w:t>
      </w:r>
    </w:p>
    <w:p>
      <w:pPr>
        <w:spacing w:after="160"/>
      </w:pPr>
      <w:r>
        <w:rPr>
          <w:rFonts w:ascii="Arial" w:hAnsi="Arial"/>
          <w:sz w:val="48"/>
        </w:rPr>
        <w:t>Standards compliance ensures compatibility with other tools and databases. Use of standard file formats (SMILES, SDF, CSV) enables interoperability. Open-source implementations enable transparency and independent verification.</w:t>
      </w:r>
    </w:p>
    <w:p>
      <w:pPr>
        <w:spacing w:after="160"/>
      </w:pPr>
      <w:r>
        <w:rPr>
          <w:rFonts w:ascii="Arial" w:hAnsi="Arial"/>
          <w:b/>
          <w:sz w:val="48"/>
        </w:rPr>
        <w:t>Format:</w:t>
      </w:r>
      <w:r>
        <w:rPr>
          <w:rFonts w:ascii="Arial" w:hAnsi="Arial"/>
          <w:sz w:val="48"/>
        </w:rPr>
        <w:t xml:space="preserve"> SDF files with ADMET/selectivity; Synthetic route diagrams; Regulatory timelines (Gantt); Risk matrices; Executive summaries; PoC recommendations; Competitive landscape tables; Value assessments.</w:t>
      </w:r>
    </w:p>
    <w:p>
      <w:pPr>
        <w:pStyle w:val="Heading2"/>
        <w:spacing w:before="200" w:after="160"/>
      </w:pPr>
      <w:r>
        <w:rPr>
          <w:rFonts w:ascii="Arial" w:hAnsi="Arial"/>
          <w:sz w:val="56"/>
        </w:rPr>
        <w:t>Summary and Key Metrics</w:t>
      </w:r>
    </w:p>
    <w:p>
      <w:pPr>
        <w:pStyle w:val="ListBullet"/>
        <w:spacing w:after="120"/>
      </w:pPr>
      <w:r>
        <w:rPr>
          <w:rFonts w:ascii="Arial" w:hAnsi="Arial"/>
          <w:sz w:val="48"/>
        </w:rPr>
        <w:t>Data Integration: Quiver atlas (~18k genes, ~3.5k compounds, 500+ EP features) with pathway annotations.</w:t>
      </w:r>
    </w:p>
    <w:p>
      <w:pPr>
        <w:pStyle w:val="ListBullet"/>
        <w:spacing w:after="120"/>
      </w:pPr>
      <w:r>
        <w:rPr>
          <w:rFonts w:ascii="Arial" w:hAnsi="Arial"/>
          <w:sz w:val="48"/>
        </w:rPr>
        <w:t>Pathway Consistency: Hierarchical clustering and outlier detection identify maverick genes with atypical signatures.</w:t>
      </w:r>
    </w:p>
    <w:p>
      <w:pPr>
        <w:pStyle w:val="ListBullet"/>
        <w:spacing w:after="120"/>
      </w:pPr>
      <w:r>
        <w:rPr>
          <w:rFonts w:ascii="Arial" w:hAnsi="Arial"/>
          <w:sz w:val="48"/>
        </w:rPr>
        <w:t>Cross-Pathway Separation: MANOVA and feature importance analysis statistically distinguish pathway electrophysiology.</w:t>
      </w:r>
    </w:p>
    <w:p>
      <w:pPr>
        <w:pStyle w:val="ListBullet"/>
        <w:spacing w:after="120"/>
      </w:pPr>
      <w:r>
        <w:rPr>
          <w:rFonts w:ascii="Arial" w:hAnsi="Arial"/>
          <w:sz w:val="48"/>
        </w:rPr>
        <w:t>Functional Antagonism: Cosine distance and correlation identify genes/compounds with opposite disease phenotypes.</w:t>
      </w:r>
    </w:p>
    <w:p>
      <w:pPr>
        <w:pStyle w:val="ListBullet"/>
        <w:spacing w:after="120"/>
      </w:pPr>
      <w:r>
        <w:rPr>
          <w:rFonts w:ascii="Arial" w:hAnsi="Arial"/>
          <w:sz w:val="48"/>
        </w:rPr>
        <w:t>Druggability Assessment: Lipinski rules, TPSA, hERG, BBB penetrance filtering identifies developable candidates.</w:t>
      </w:r>
    </w:p>
    <w:p>
      <w:pPr>
        <w:pStyle w:val="ListBullet"/>
        <w:spacing w:after="120"/>
      </w:pPr>
      <w:r>
        <w:rPr>
          <w:rFonts w:ascii="Arial" w:hAnsi="Arial"/>
          <w:sz w:val="48"/>
        </w:rPr>
        <w:t>Compound Screening: Integrated ranking by EP rescue activity, ADMET properties, and clinical stage.</w:t>
      </w:r>
    </w:p>
    <w:p>
      <w:pPr>
        <w:pStyle w:val="ListBullet"/>
        <w:spacing w:after="120"/>
      </w:pPr>
      <w:r>
        <w:rPr>
          <w:rFonts w:ascii="Arial" w:hAnsi="Arial"/>
          <w:sz w:val="48"/>
        </w:rPr>
        <w:t>Chemical Optimization: De novo scaffold design, SAR exploration, and selectivity enhancement for phenotype.</w:t>
      </w:r>
    </w:p>
    <w:p>
      <w:pPr>
        <w:pStyle w:val="ListBullet"/>
        <w:spacing w:after="120"/>
      </w:pPr>
      <w:r>
        <w:rPr>
          <w:rFonts w:ascii="Arial" w:hAnsi="Arial"/>
          <w:sz w:val="48"/>
        </w:rPr>
        <w:t>Regulatory Planning: IND-enabling timelines (12-14 months) with GLP tox, PK, safety pharm planning.</w:t>
      </w:r>
    </w:p>
    <w:p>
      <w:pPr>
        <w:pStyle w:val="ListBullet"/>
        <w:spacing w:after="120"/>
      </w:pPr>
      <w:r>
        <w:rPr>
          <w:rFonts w:ascii="Arial" w:hAnsi="Arial"/>
          <w:sz w:val="48"/>
        </w:rPr>
        <w:t>ASO Design: Sequence selection with off-target prediction and pharmacokinetic optimization.</w:t>
      </w:r>
    </w:p>
    <w:p>
      <w:pPr>
        <w:pStyle w:val="ListBullet"/>
        <w:spacing w:after="120"/>
      </w:pPr>
      <w:r>
        <w:rPr>
          <w:rFonts w:ascii="Arial" w:hAnsi="Arial"/>
          <w:sz w:val="48"/>
        </w:rPr>
        <w:t>Clinical Translation: Probability of success estimates and competitive assessment guide development.</w:t>
      </w:r>
    </w:p>
    <w:p>
      <w:pPr>
        <w:pStyle w:val="ListBullet"/>
        <w:spacing w:after="120"/>
      </w:pPr>
      <w:r>
        <w:rPr>
          <w:rFonts w:ascii="Arial" w:hAnsi="Arial"/>
          <w:sz w:val="48"/>
        </w:rPr>
        <w:t>Output Formats: CSV tables, heatmaps, dendrograms, SDF files, timelines, executive summaries.</w:t>
      </w:r>
    </w:p>
    <w:p>
      <w:pPr>
        <w:pStyle w:val="ListBullet"/>
        <w:spacing w:after="120"/>
      </w:pPr>
      <w:r>
        <w:rPr>
          <w:rFonts w:ascii="Arial" w:hAnsi="Arial"/>
          <w:sz w:val="48"/>
        </w:rPr>
        <w:t>Validation Metrics: Cross-validation accuracy, effect sizes (Cohen's d, eta-squared), CIs, p-values.</w:t>
      </w:r>
    </w:p>
    <w:p>
      <w:pPr>
        <w:pStyle w:val="ListBullet"/>
        <w:spacing w:after="120"/>
      </w:pPr>
      <w:r>
        <w:rPr>
          <w:rFonts w:ascii="Arial" w:hAnsi="Arial"/>
          <w:sz w:val="48"/>
        </w:rPr>
        <w:t>Integration: Direct Quiver access, ChEMBL/PubChem queries, ClinicalTrials.gov data for real-time updates.</w:t>
      </w:r>
    </w:p>
    <w:p>
      <w:pPr>
        <w:pStyle w:val="ListBullet"/>
        <w:spacing w:after="120"/>
      </w:pPr>
      <w:r>
        <w:rPr>
          <w:rFonts w:ascii="Arial" w:hAnsi="Arial"/>
          <w:sz w:val="48"/>
        </w:rPr>
        <w:t>Scalability: Efficiently processes thousands of perturbations with high-dimensional feature analysis.</w:t>
      </w:r>
    </w:p>
    <w:p>
      <w:pPr>
        <w:pStyle w:val="ListBullet"/>
        <w:spacing w:after="120"/>
      </w:pPr>
      <w:r>
        <w:rPr>
          <w:rFonts w:ascii="Arial" w:hAnsi="Arial"/>
          <w:sz w:val="48"/>
        </w:rPr>
        <w:t>Translational Impact: End-to-end workflow from basic discovery to IND-ready therapeutic candidates.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