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before="240"/>
      </w:pPr>
      <w:r>
        <w:t xml:space="preserve">Sapphire Pipeline Workflow</w:t>
      </w:r>
    </w:p>
    <w:p>
      <w:pPr>
        <w:pStyle w:val="Heading2"/>
        <w:pStyle w:val="Heading2"/>
        <w:spacing w:after="200" w:before="200"/>
      </w:pPr>
      <w:r>
        <w:t xml:space="preserve">Prompt: For TSC2 loss-of-function, identify all gene perturbations in Quiver that are functionally antipodal. Rank them by druggability and BBB feasibility.</w:t>
      </w:r>
    </w:p>
    <w:p>
      <w:pPr>
        <w:spacing w:after="200"/>
        <w:jc w:val="left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pStyle w:val="Heading2"/>
        <w:spacing w:after="200" w:before="200"/>
      </w:pPr>
      <w:r>
        <w:t xml:space="preserve">Pipeline Overview</w:t>
      </w:r>
    </w:p>
    <w:p>
      <w:pPr>
        <w:spacing w:after="200"/>
        <w:jc w:val="left"/>
      </w:pPr>
      <w:r>
        <w:t xml:space="preserve">The TSC2 Loss-of-Function Antipodal Perturbations pipeline identifies gene knockouts in the Quiver CRISPR library whose electrophysiology (EP) profiles are functionally opposite to the TSC2 LoF phenotype. This is achieved through systematic anti-correlation analysis across all ~18,000 human cortical neuron perturbations, followed by druggability and BBB feasibility filtering.</w:t>
      </w:r>
    </w:p>
    <w:p>
      <w:pPr>
        <w:spacing w:after="200"/>
        <w:jc w:val="left"/>
      </w:pPr>
      <w:r>
        <w:t xml:space="preserve">The pipeline integrates multi-modal phenotypic data, computational scoring metrics, and external drug databases to generate a ranked list of potential therapeutic targets whose functional rescue could reverse TSC2-associated disease phenotypes. TSC2 loss-of-function is implicated in tuberous sclerosis complex (TSC), a rare genetic disorder causing benign tumor growth and neurological dysfunction.</w:t>
      </w:r>
    </w:p>
    <w:p>
      <w:pPr>
        <w:spacing w:after="200"/>
        <w:jc w:val="left"/>
      </w:pPr>
      <w:r>
        <w:t xml:space="preserve">By identifying antipodal perturbations, the pipeline enables rational target selection for therapeutic intervention, prioritizing genes whose suppression or modulation could functionally compensate for TSC2 haploinsufficiency or biallelic loss.</w:t>
      </w:r>
    </w:p>
    <w:p>
      <w:pPr>
        <w:pStyle w:val="Heading2"/>
        <w:pStyle w:val="Heading2"/>
        <w:spacing w:after="200" w:before="200"/>
      </w:pPr>
      <w:r>
        <w:t xml:space="preserve">Stage 1: TSC2 LoF Reference Phenotype Extraction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Extract and characterize the electrophysiology (EP) phenotype profile of TSC2 loss-of-function as the reference vector for anti-correlation analysis.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CRISPR database with TSC2 knockout cell line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Electrophysiology recordings from TSC2 LoF neurons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Raw and processed EP metrics (action potential shape, firing rate, input resistance, etc.)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Quality control flags and replicate identifiers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Core Database: full EP phenotype extraction for TSC2 LoF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Morphological &amp; Electrophysiological Characterization Module: feature standardization and scaling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Statistical Summary Pipeline: mean, SD, median, IQR, distribution analysis per metric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Quality Assurance Module: identify outliers, assess replicate concordance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complete EP phenotype profile for TSC2 loss-of-function in Quiver?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How do action potential waveform, firing frequency, and rheobase compare to wild-type?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EP features show the largest deviation in TSC2 LoF? What is the magnitude of change?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cell-to-cell heterogeneities or subpopulations within TSC2 LoF neurons?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TSC2 LoF EP phenotype vector (30+ features: AP amplitude, duration, threshold, AHP, firing rate, adaptation index, input resistance, membrane time constant, etc.)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Statistical signature (mean, SD, 95% CI, median, IQR per feature)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Feature importance ranking (which EP metrics define TSC2 LoF most distinctly using variance analysis)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Distribution plots showing normal/non-normal features for statistical testing selection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Structured JSON with phenotype vector, confidence intervals, feature importance rankings, and distribution metadata.</w:t>
      </w:r>
    </w:p>
    <w:p>
      <w:pPr>
        <w:pStyle w:val="Heading2"/>
        <w:pStyle w:val="Heading2"/>
        <w:spacing w:after="200" w:before="200"/>
      </w:pPr>
      <w:r>
        <w:t xml:space="preserve">Stage 2: Database-Wide EP Phenotype Vectorization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Compute standardized EP phenotype vectors for all ~18,000 CRISPR perturbations to enable vector-based anti-correlation comparisons.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Full Quiver CRISPR knockout library (~18k perturbations)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EP recordings for each perturbation (variable replicates, quality-filtered)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Feature standardization reference (TSC2 LoF baseline for z-score normalization)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Sample metadata (cell line, differentiation stage, recording conditions)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Mass Processing Engine: batch EP feature extraction for all perturbations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Feature Normalization Pipeline: z-score standardization, quantile normalization across database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Quality Control Filter: exclude low-replicate (n&lt;3), high-noise (SNR&lt;5), or suspect records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Batch Effect Correction Module: account for recording date, electrode type, solution conditions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Extract standardized EP phenotype vectors for all 18,000 perturbations in Quiver.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How many perturbations have sufficient replicate count and signal quality for downstream analysis?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perturbations show EP phenotypes most different from each other (highest variance)?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batch effects or systematic biases in the data that require correction?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Matrix of 18,000 x 30+ EP feature vectors (standardized, z-scored)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Quality metrics per perturbation (replicate count, signal-to-noise ratio, batch ID)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Data completeness report (% coverage, missing data patterns, imputation flags)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Outlier detection results (genes with aberrant or questionable phenotypes)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HDF5 or parquet matrix with metadata; TSV summary of quality flags and batch assignments.</w:t>
      </w:r>
    </w:p>
    <w:p>
      <w:pPr>
        <w:pStyle w:val="Heading2"/>
        <w:pStyle w:val="Heading2"/>
        <w:spacing w:after="200" w:before="200"/>
      </w:pPr>
      <w:r>
        <w:t xml:space="preserve">Stage 3: Anti-Correlation Scoring &amp; Statistical Significance Testing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Compute anti-correlation (negative correlation) scores between TSC2 LoF phenotype and all other perturbations, filter for statistical significance.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TSC2 LoF reference phenotype vector (from Stage 1)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Standardized phenotype matrix for 18,000 perturbations (from Stage 2)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Significance threshold (α = 0.05 or user-specified)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Correlation method selection (Pearson for linear relationships, Spearman for monotonic)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Correlation Engine: Pearson and Spearman correlation computation with robust error estimation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Statistical Testing Module: Benjamini-Hochberg FDR correction at multiple thresholds (q &lt; 0.05, q &lt; 0.01)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Anti-Correlation Filtering: identify perturbations with r &lt; -0.3, p &lt; 0.05 (or custom thresholds)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Effect Size Estimation: compute Cliff's delta for non-parametric effect magnitude assessment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gene perturbations have EP phenotypes most negatively correlated to TSC2 LoF?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anti-correlation threshold after FDR correction? How many hits at different thresholds (r &lt; -0.3, r &lt; -0.4, r &lt; -0.5)?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EP features drive the strongest anti-correlations? Are they consistent across hits?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distribution of anti-correlation scores across the entire perturbation library?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Ranked list of antipodal hits: gene names, anti-correlation r, p-values, adjusted q-values, effect size estimates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Statistical summary: number of hits at different thresholds (r &lt; -0.3, r &lt; -0.4, r &lt; -0.5)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Volcano plot data (anti-correlation r vs. -log10(p-value)) with significance thresholds marked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Feature-level contribution analysis: which EP metrics drive antipodality for each hit?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CSV with columns: Gene, AntiBioCorrelation_r, p_value, q_value_FDR, Effect_Size_Cliff_Delta, Rank, Top_Contributing_Features.</w:t>
      </w:r>
    </w:p>
    <w:p>
      <w:pPr>
        <w:pStyle w:val="Heading2"/>
        <w:pStyle w:val="Heading2"/>
        <w:spacing w:after="200" w:before="200"/>
      </w:pPr>
      <w:r>
        <w:t xml:space="preserve">Stage 4: Druggability &amp; Target Tractability Assessment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Filter antipodal perturbations by druggability metrics (small molecule ligandability, known tool compounds, chemical modulation evidence).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Ranked antipodal perturbation list (from Stage 3)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Druggability prediction models (ChEMBL, Broad/GSK Scoring Matrix, external ML predictions)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Tool compound databases (Tocris, eMolecules, compound screening literature)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ChEMBL Database: query ligand activity, binding affinity, selectivity profiles for each target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OpenTargets Platform: druggability score, small-molecule modulation evidence, clinical precedent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Broad Institute Scoring Matrix: ligandability and tractability scoring with uncertainty estimates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Tool Compound Search Engine: identify known pharmacological modulators, screening hits, research compounds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Protein Structure Databases: AlphaFold predictions, binding pocket assessments for targets lacking crystal structures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For each antipodal gene, what is the druggability score (small molecule tractability)?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there known tool compounds or commercial inhibitors available? What are their potencies and selectivities?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evidence for chemical modulation of this target in prior research? Any published assays or screening campaigns?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Can protein structure information guide compound design or target engagement predictions?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Druggability scores per target (ligandability scale 1-10, confidence assessment)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Tool compound availability summary with compound identities, potencies, and selectivity profiles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Literature-derived modulation evidence (known binders, binding constants, cellular activity)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Binding pocket assessment and target engagement feasibility summary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TSV with columns: Gene, Druggability_Score, Tool_Compounds_Available, Best_Tool_Compound, IC50_nM, Selectivity_Profile, Binding_Pocket_Quality.</w:t>
      </w:r>
    </w:p>
    <w:p>
      <w:pPr>
        <w:pStyle w:val="Heading2"/>
        <w:pStyle w:val="Heading2"/>
        <w:spacing w:after="200" w:before="200"/>
      </w:pPr>
      <w:r>
        <w:t xml:space="preserve">Stage 5: BBB Feasibility &amp; ADME Prediction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Assess blood-brain barrier (BBB) penetrance feasibility and pharmacokinetic properties of small molecules targeting antipodal genes.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Druggability-filtered antipodal target list (from Stage 4)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Known small-molecule binders and tool compounds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prediction models and ADMET predictor tools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pharmacokinetic data for precedent compounds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Predictor: compute Papp, efflux ratio, active transport likelihood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ADMET Modeling: predict absorption, distribution, metabolism, excretion and hepatotoxicity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Target-Organ Distribution Model: assess CNS accumulation feasibility and off-target tissue exposure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 Transporter Database: P-gp substrate risk assessment, BCRP interaction likelihood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In Vitro ADME Data Integration: use published literature values for structurally similar compounds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For each antipodal target, what is the estimated BBB penetrance for known binders?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targets have tool compounds with high brain exposure or known CNS efficacy precedent?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are the ADME barriers (P-gp substrate, hepatic clearance, metabolic liability) for each target?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Can CNS-penetrant molecules be designed with acceptable metabolic stability?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scores (low/medium/high probability) with confidence intervals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CNS-versus-peripheral selectivity assessment (predicted brain-to-blood ratio)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ADME feasibility summary (predicted clearance, metabolism, transporter risk)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dosing feasibility assessment based on PK properties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JSON or TSV with BBB_Score, Predicted_Brain_Exposure, P_gp_Risk, Hepatic_CL_Prediction, CNS_Feasibility_Flag, Dosing_Recommendation.</w:t>
      </w:r>
    </w:p>
    <w:p>
      <w:pPr>
        <w:pStyle w:val="Heading2"/>
        <w:pStyle w:val="Heading2"/>
        <w:spacing w:after="200" w:before="200"/>
      </w:pPr>
      <w:r>
        <w:t xml:space="preserve">Stage 6: Final Ranking &amp; Therapeutic Prioritization</w:t>
      </w:r>
    </w:p>
    <w:p>
      <w:pPr>
        <w:spacing w:after="200"/>
        <w:jc w:val="left"/>
      </w:pPr>
      <w:r>
        <w:rPr>
          <w:b/>
          <w:bCs/>
        </w:rPr>
        <w:t xml:space="preserve">Purpose: </w:t>
      </w:r>
      <w:r>
        <w:t xml:space="preserve">Integrate anti-correlation significance, druggability, and BBB feasibility into a final prioritized ranking for therapeutic validation.</w:t>
      </w:r>
    </w:p>
    <w:p>
      <w:pPr>
        <w:spacing w:after="100"/>
        <w:jc w:val="left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Antipodal correlation scores and p-values (from Stage 3)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Druggability metrics and tool compound availability (from Stage 4)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feasibility assessments (from Stage 5)</w:t>
      </w:r>
    </w:p>
    <w:p>
      <w:pPr>
        <w:spacing w:after="100"/>
        <w:jc w:val="left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Multi-Criteria Decision Analysis Engine: weighted scoring integration (antipodality × druggability × BBB feasibility)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Therapeutic Indication Mapper: target-indication alignment for TSC-related neurological disorders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Trial Database Search: prior development history, regulatory status, patient population data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Pathway Enrichment Analyzer: mechanistic context validation against TSC2/mTOR signaling</w:t>
      </w:r>
    </w:p>
    <w:p>
      <w:pPr>
        <w:spacing w:after="100"/>
        <w:jc w:val="left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Rank antipodal targets by composite score: anti-correlation strength × druggability × BBB feasibility.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Which top 10 antipodal targets are most likely to be developable CNS therapeutics?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Are any top hits already in clinical development for related indications?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What is the mechanistic rationale linking each top hit to TSC2 and mTOR signaling?</w:t>
      </w:r>
    </w:p>
    <w:p>
      <w:pPr>
        <w:spacing w:after="100"/>
        <w:jc w:val="left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Final prioritized list: top 20-50 antipodal genes ranked by therapeutic potential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Composite score breakdown per target (anti-correlation contribution %, druggability contribution %, BBB contribution %)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rationale summary for top 10 targets with development strategy recommendations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Risk assessment matrix (technical risk, regulatory risk, commercial risk) per target</w:t>
      </w:r>
    </w:p>
    <w:p>
      <w:pPr>
        <w:spacing w:after="200"/>
        <w:jc w:val="left"/>
      </w:pPr>
      <w:r>
        <w:rPr>
          <w:b/>
          <w:bCs/>
        </w:rPr>
        <w:t xml:space="preserve">Format: </w:t>
      </w:r>
      <w:r>
        <w:t xml:space="preserve">Excel workbook with multiple sheets: Ranked_Hits (top 50), Composite_Scores (detailed breakdown), Target_Rationale (clinical context), Risk_Assessment, Literature_Summary.</w:t>
      </w:r>
    </w:p>
    <w:p>
      <w:pPr>
        <w:pStyle w:val="Heading2"/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Quiver CRISPR Platform: ~18,000 human neuron perturbations with EP phenotyping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Electrophysiology Data Processing Engine: feature extraction, standardization, quality control, batch correction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Correlation &amp; Statistical Analysis: Pearson/Spearman correlation, FDR correction, effect size estimation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ChEMBL Database: ligand-target interactions, binding potency, selectivity profiles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OpenTargets Platform: druggability scoring, target-disease association, clinical validation data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Broad Institute Scoring Matrix: small molecule tractability and ligandability metrics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Tool Compound Repository: Tocris, eMolecules, academic and commercial inhibitor libraries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BBB Penetrance Predictors: ADMET modeling, Papp estimation, transporter interaction prediction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Drug Transporter Database: P-gp and BCRP substrate predictions, efflux risk assessment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AlphaFold Protein Structure Database: predicted 3D structures for mechanistic insights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Multi-Criteria Decision Analysis: weighted scoring, therapeutic prioritization algorithms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Clinical Trial Aggregators: ClinicalTrials.gov, PubChem, DrugBank cross-referencing</w:t>
      </w:r>
    </w:p>
    <w:p>
      <w:pPr>
        <w:pStyle w:val="ListParagraph"/>
        <w:numPr>
          <w:ilvl w:val="0"/>
          <w:numId w:val="1"/>
        </w:numPr>
        <w:spacing w:after="100"/>
        <w:ind w:left="720" w:hanging="360"/>
      </w:pPr>
      <w:r>
        <w:t xml:space="preserve">Pathway Databases: KEGG, Reactome, STRING for mechanistic context and protein interaction networks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2026-02-27T14:28:58.709Z</dcterms:created>
  <dcterms:modified xsi:type="dcterms:W3CDTF">2026-02-27T14:28:58.709Z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