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240" w:before="240"/>
      </w:pPr>
      <w:r>
        <w:t xml:space="preserve">Sapphire Pipeline Workflow</w:t>
      </w:r>
    </w:p>
    <w:p>
      <w:pPr>
        <w:pStyle w:val="Heading2"/>
        <w:pStyle w:val="Heading2"/>
        <w:spacing w:after="200" w:before="200"/>
      </w:pPr>
      <w:r>
        <w:t xml:space="preserve">Prompt: For rare monogenic neurodegeneration gene A, design ASOs and estimate IND timeline feasibility.</w:t>
      </w:r>
    </w:p>
    <w:p>
      <w:pPr>
        <w:spacing w:after="200"/>
        <w:jc w:val="left"/>
      </w:pPr>
      <w:r>
        <w:t xml:space="preserve">This document defines the complete Sapphire pipeline — the sequential stages, tools called, external datasets used, inputs, outputs, and decision logic — required to deliver a valid, actionable answer to this prompt.</w:t>
      </w:r>
    </w:p>
    <w:p>
      <w:pPr>
        <w:pStyle w:val="Heading2"/>
        <w:pStyle w:val="Heading2"/>
        <w:spacing w:after="200" w:before="200"/>
      </w:pPr>
      <w:r>
        <w:t xml:space="preserve">Pipeline Overview</w:t>
      </w:r>
    </w:p>
    <w:p>
      <w:pPr>
        <w:spacing w:after="200"/>
        <w:jc w:val="left"/>
      </w:pPr>
      <w:r>
        <w:t xml:space="preserve">The Rare Neurodegeneration ASO IND Timeline pipeline guides the design of antisense oligonucleotides (ASOs) targeting a monogenic rare neurodegeneration gene, from initial transcript analysis through IND-enabling preclinical studies. This pipeline integrates sequence design optimization, safety prediction, manufacturing feasibility, and regulatory pathway mapping to estimate realistic timelines for IND submission.</w:t>
      </w:r>
    </w:p>
    <w:p>
      <w:pPr>
        <w:spacing w:after="200"/>
        <w:jc w:val="left"/>
      </w:pPr>
      <w:r>
        <w:t xml:space="preserve">The workflow leverages Sapphire's EP phenotyping data to validate ASO efficacy in relevant cellular models, computational chemistry for ASO design, and historical data from approved antisense therapeutics (Spinraza for SMA, Zolgensma for SMA, Eteplirsen for DMD) to calibrate IND timeline projections. Rare monogenic neurodegeneration represents one of the most promising indications for ASO therapeutics given well-defined genetics and unmet clinical need.</w:t>
      </w:r>
    </w:p>
    <w:p>
      <w:pPr>
        <w:spacing w:after="200"/>
        <w:jc w:val="left"/>
      </w:pPr>
      <w:r>
        <w:t xml:space="preserve">The pipeline provides step-by-step guidance on ASO sequence optimization, preclinical efficacy validation, toxicology study design, manufacturing scale-up, and regulatory strategy, enabling rapid progression from target identification to human testing.</w:t>
      </w:r>
    </w:p>
    <w:p>
      <w:pPr>
        <w:pStyle w:val="Heading2"/>
        <w:pStyle w:val="Heading2"/>
        <w:spacing w:after="200" w:before="200"/>
      </w:pPr>
      <w:r>
        <w:t xml:space="preserve">Stage 1: Target Gene Transcript &amp; Structural Characterization</w:t>
      </w:r>
    </w:p>
    <w:p>
      <w:pPr>
        <w:spacing w:after="200"/>
        <w:jc w:val="left"/>
      </w:pPr>
      <w:r>
        <w:rPr>
          <w:b/>
          <w:bCs/>
        </w:rPr>
        <w:t xml:space="preserve">Purpose: </w:t>
      </w:r>
      <w:r>
        <w:t xml:space="preserve">Analyze the target monogenic neurodegeneration gene at the transcript and protein level, identifying optimal ASO design targets and splice variants.</w:t>
      </w:r>
    </w:p>
    <w:p>
      <w:pPr>
        <w:spacing w:after="100"/>
        <w:jc w:val="left"/>
      </w:pPr>
      <w:r>
        <w:rPr>
          <w:b/>
          <w:bCs/>
        </w:rPr>
        <w:t xml:space="preserve">Inputs:</w:t>
      </w:r>
    </w:p>
    <w:p>
      <w:pPr>
        <w:pStyle w:val="ListParagraph"/>
        <w:numPr>
          <w:ilvl w:val="0"/>
          <w:numId w:val="1"/>
        </w:numPr>
        <w:spacing w:after="100"/>
        <w:ind w:left="720" w:hanging="360"/>
      </w:pPr>
      <w:r>
        <w:t xml:space="preserve">Target gene symbol and genomic location</w:t>
      </w:r>
    </w:p>
    <w:p>
      <w:pPr>
        <w:pStyle w:val="ListParagraph"/>
        <w:numPr>
          <w:ilvl w:val="0"/>
          <w:numId w:val="1"/>
        </w:numPr>
        <w:spacing w:after="100"/>
        <w:ind w:left="720" w:hanging="360"/>
      </w:pPr>
      <w:r>
        <w:t xml:space="preserve">NCBI/Ensembl transcript database records</w:t>
      </w:r>
    </w:p>
    <w:p>
      <w:pPr>
        <w:pStyle w:val="ListParagraph"/>
        <w:numPr>
          <w:ilvl w:val="0"/>
          <w:numId w:val="1"/>
        </w:numPr>
        <w:spacing w:after="100"/>
        <w:ind w:left="720" w:hanging="360"/>
      </w:pPr>
      <w:r>
        <w:t xml:space="preserve">Patient-derived mutations and loss-of-function data</w:t>
      </w:r>
    </w:p>
    <w:p>
      <w:pPr>
        <w:pStyle w:val="ListParagraph"/>
        <w:numPr>
          <w:ilvl w:val="0"/>
          <w:numId w:val="1"/>
        </w:numPr>
        <w:spacing w:after="100"/>
        <w:ind w:left="720" w:hanging="360"/>
      </w:pPr>
      <w:r>
        <w:t xml:space="preserve">Disease inheritance pattern and clinical severity data</w:t>
      </w:r>
    </w:p>
    <w:p>
      <w:pPr>
        <w:spacing w:after="100"/>
        <w:jc w:val="left"/>
      </w:pPr>
      <w:r>
        <w:rPr>
          <w:b/>
          <w:bCs/>
        </w:rPr>
        <w:t xml:space="preserve">Tools &amp; Databases Called:</w:t>
      </w:r>
    </w:p>
    <w:p>
      <w:pPr>
        <w:pStyle w:val="ListParagraph"/>
        <w:numPr>
          <w:ilvl w:val="0"/>
          <w:numId w:val="1"/>
        </w:numPr>
        <w:spacing w:after="100"/>
        <w:ind w:left="720" w:hanging="360"/>
      </w:pPr>
      <w:r>
        <w:t xml:space="preserve">NCBI RefSeq &amp; Ensembl: transcript enumeration, exon-intron structure mapping</w:t>
      </w:r>
    </w:p>
    <w:p>
      <w:pPr>
        <w:pStyle w:val="ListParagraph"/>
        <w:numPr>
          <w:ilvl w:val="0"/>
          <w:numId w:val="1"/>
        </w:numPr>
        <w:spacing w:after="100"/>
        <w:ind w:left="720" w:hanging="360"/>
      </w:pPr>
      <w:r>
        <w:t xml:space="preserve">UCSC Genome Browser: splice variant prediction, conservation analysis, regulatory regions</w:t>
      </w:r>
    </w:p>
    <w:p>
      <w:pPr>
        <w:pStyle w:val="ListParagraph"/>
        <w:numPr>
          <w:ilvl w:val="0"/>
          <w:numId w:val="1"/>
        </w:numPr>
        <w:spacing w:after="100"/>
        <w:ind w:left="720" w:hanging="360"/>
      </w:pPr>
      <w:r>
        <w:t xml:space="preserve">ClinVar Database: known pathogenic variants, loss-of-function evidence, functional predictions</w:t>
      </w:r>
    </w:p>
    <w:p>
      <w:pPr>
        <w:pStyle w:val="ListParagraph"/>
        <w:numPr>
          <w:ilvl w:val="0"/>
          <w:numId w:val="1"/>
        </w:numPr>
        <w:spacing w:after="100"/>
        <w:ind w:left="720" w:hanging="360"/>
      </w:pPr>
      <w:r>
        <w:t xml:space="preserve">AnnoVar &amp; VEP: variant effect prediction on transcript stability and protein function</w:t>
      </w:r>
    </w:p>
    <w:p>
      <w:pPr>
        <w:pStyle w:val="ListParagraph"/>
        <w:numPr>
          <w:ilvl w:val="0"/>
          <w:numId w:val="1"/>
        </w:numPr>
        <w:spacing w:after="100"/>
        <w:ind w:left="720" w:hanging="360"/>
      </w:pPr>
      <w:r>
        <w:t xml:space="preserve">Protein Databases (UniProt, PDB): functional domains, post-translational modifications, structure insights</w:t>
      </w:r>
    </w:p>
    <w:p>
      <w:pPr>
        <w:spacing w:after="100"/>
        <w:jc w:val="left"/>
      </w:pPr>
      <w:r>
        <w:rPr>
          <w:b/>
          <w:bCs/>
        </w:rPr>
        <w:t xml:space="preserve">Exemplary Sub-Prompts:</w:t>
      </w:r>
    </w:p>
    <w:p>
      <w:pPr>
        <w:pStyle w:val="ListParagraph"/>
        <w:numPr>
          <w:ilvl w:val="0"/>
          <w:numId w:val="1"/>
        </w:numPr>
        <w:spacing w:after="100"/>
        <w:ind w:left="720" w:hanging="360"/>
      </w:pPr>
      <w:r>
        <w:t xml:space="preserve">How many transcript isoforms does gene A have, and which is most expressed in neurons?</w:t>
      </w:r>
    </w:p>
    <w:p>
      <w:pPr>
        <w:pStyle w:val="ListParagraph"/>
        <w:numPr>
          <w:ilvl w:val="0"/>
          <w:numId w:val="1"/>
        </w:numPr>
        <w:spacing w:after="100"/>
        <w:ind w:left="720" w:hanging="360"/>
      </w:pPr>
      <w:r>
        <w:t xml:space="preserve">Are there tissue-specific or neuron-subtype-specific splice variants relevant to neurodegeneration?</w:t>
      </w:r>
    </w:p>
    <w:p>
      <w:pPr>
        <w:pStyle w:val="ListParagraph"/>
        <w:numPr>
          <w:ilvl w:val="0"/>
          <w:numId w:val="1"/>
        </w:numPr>
        <w:spacing w:after="100"/>
        <w:ind w:left="720" w:hanging="360"/>
      </w:pPr>
      <w:r>
        <w:t xml:space="preserve">What is the protein structure and functional domain architecture? Where are critical loss-of-function mutations clustered?</w:t>
      </w:r>
    </w:p>
    <w:p>
      <w:pPr>
        <w:pStyle w:val="ListParagraph"/>
        <w:numPr>
          <w:ilvl w:val="0"/>
          <w:numId w:val="1"/>
        </w:numPr>
        <w:spacing w:after="100"/>
        <w:ind w:left="720" w:hanging="360"/>
      </w:pPr>
      <w:r>
        <w:t xml:space="preserve">What percentage of disease variants are nonsense, frameshift, or splice-altering mutations (targets for ASO exon-skipping)?</w:t>
      </w:r>
    </w:p>
    <w:p>
      <w:pPr>
        <w:spacing w:after="100"/>
        <w:jc w:val="left"/>
      </w:pPr>
      <w:r>
        <w:rPr>
          <w:b/>
          <w:bCs/>
        </w:rPr>
        <w:t xml:space="preserve">Expected Outputs:</w:t>
      </w:r>
    </w:p>
    <w:p>
      <w:pPr>
        <w:pStyle w:val="ListParagraph"/>
        <w:numPr>
          <w:ilvl w:val="0"/>
          <w:numId w:val="1"/>
        </w:numPr>
        <w:spacing w:after="100"/>
        <w:ind w:left="720" w:hanging="360"/>
      </w:pPr>
      <w:r>
        <w:t xml:space="preserve">Primary and alternative transcript sequences (FASTA format) with annotation of coding exons</w:t>
      </w:r>
    </w:p>
    <w:p>
      <w:pPr>
        <w:pStyle w:val="ListParagraph"/>
        <w:numPr>
          <w:ilvl w:val="0"/>
          <w:numId w:val="1"/>
        </w:numPr>
        <w:spacing w:after="100"/>
        <w:ind w:left="720" w:hanging="360"/>
      </w:pPr>
      <w:r>
        <w:t xml:space="preserve">Exon-intron mapping and splice junction annotations with conservation scores</w:t>
      </w:r>
    </w:p>
    <w:p>
      <w:pPr>
        <w:pStyle w:val="ListParagraph"/>
        <w:numPr>
          <w:ilvl w:val="0"/>
          <w:numId w:val="1"/>
        </w:numPr>
        <w:spacing w:after="100"/>
        <w:ind w:left="720" w:hanging="360"/>
      </w:pPr>
      <w:r>
        <w:t xml:space="preserve">Protein domain prediction and functional regions (signal peptide, transmembrane domains, catalytic sites)</w:t>
      </w:r>
    </w:p>
    <w:p>
      <w:pPr>
        <w:pStyle w:val="ListParagraph"/>
        <w:numPr>
          <w:ilvl w:val="0"/>
          <w:numId w:val="1"/>
        </w:numPr>
        <w:spacing w:after="100"/>
        <w:ind w:left="720" w:hanging="360"/>
      </w:pPr>
      <w:r>
        <w:t xml:space="preserve">Disease variant database summary (mutation types, frequencies, functional consequences)</w:t>
      </w:r>
    </w:p>
    <w:p>
      <w:pPr>
        <w:spacing w:after="200"/>
        <w:jc w:val="left"/>
      </w:pPr>
      <w:r>
        <w:rPr>
          <w:b/>
          <w:bCs/>
        </w:rPr>
        <w:t xml:space="preserve">Format: </w:t>
      </w:r>
      <w:r>
        <w:t xml:space="preserve">Annotated FASTA files, GFF3 structural annotations, domain map diagram, variant effect summary table.</w:t>
      </w:r>
    </w:p>
    <w:p>
      <w:pPr>
        <w:pStyle w:val="Heading2"/>
        <w:pStyle w:val="Heading2"/>
        <w:spacing w:after="200" w:before="200"/>
      </w:pPr>
      <w:r>
        <w:t xml:space="preserve">Stage 2: ASO Design &amp; Target Site Optimization</w:t>
      </w:r>
    </w:p>
    <w:p>
      <w:pPr>
        <w:spacing w:after="200"/>
        <w:jc w:val="left"/>
      </w:pPr>
      <w:r>
        <w:rPr>
          <w:b/>
          <w:bCs/>
        </w:rPr>
        <w:t xml:space="preserve">Purpose: </w:t>
      </w:r>
      <w:r>
        <w:t xml:space="preserve">Design optimized ASO sequences targeting the identified transcript, screening for efficacy, specificity, and manufacturability.</w:t>
      </w:r>
    </w:p>
    <w:p>
      <w:pPr>
        <w:spacing w:after="100"/>
        <w:jc w:val="left"/>
      </w:pPr>
      <w:r>
        <w:rPr>
          <w:b/>
          <w:bCs/>
        </w:rPr>
        <w:t xml:space="preserve">Inputs:</w:t>
      </w:r>
    </w:p>
    <w:p>
      <w:pPr>
        <w:pStyle w:val="ListParagraph"/>
        <w:numPr>
          <w:ilvl w:val="0"/>
          <w:numId w:val="1"/>
        </w:numPr>
        <w:spacing w:after="100"/>
        <w:ind w:left="720" w:hanging="360"/>
      </w:pPr>
      <w:r>
        <w:t xml:space="preserve">Target transcript sequence(s) (from Stage 1)</w:t>
      </w:r>
    </w:p>
    <w:p>
      <w:pPr>
        <w:pStyle w:val="ListParagraph"/>
        <w:numPr>
          <w:ilvl w:val="0"/>
          <w:numId w:val="1"/>
        </w:numPr>
        <w:spacing w:after="100"/>
        <w:ind w:left="720" w:hanging="360"/>
      </w:pPr>
      <w:r>
        <w:t xml:space="preserve">ASO design criteria (gapmer structure, length 18-25 nt, chemical modifications for stability)</w:t>
      </w:r>
    </w:p>
    <w:p>
      <w:pPr>
        <w:pStyle w:val="ListParagraph"/>
        <w:numPr>
          <w:ilvl w:val="0"/>
          <w:numId w:val="1"/>
        </w:numPr>
        <w:spacing w:after="100"/>
        <w:ind w:left="720" w:hanging="360"/>
      </w:pPr>
      <w:r>
        <w:t xml:space="preserve">Specificity constraints (off-target binding risk to related genes, pseudogenes)</w:t>
      </w:r>
    </w:p>
    <w:p>
      <w:pPr>
        <w:pStyle w:val="ListParagraph"/>
        <w:numPr>
          <w:ilvl w:val="0"/>
          <w:numId w:val="1"/>
        </w:numPr>
        <w:spacing w:after="100"/>
        <w:ind w:left="720" w:hanging="360"/>
      </w:pPr>
      <w:r>
        <w:t xml:space="preserve">Desired mechanism (RNase H-mediated cleavage vs. steric blocking)</w:t>
      </w:r>
    </w:p>
    <w:p>
      <w:pPr>
        <w:spacing w:after="100"/>
        <w:jc w:val="left"/>
      </w:pPr>
      <w:r>
        <w:rPr>
          <w:b/>
          <w:bCs/>
        </w:rPr>
        <w:t xml:space="preserve">Tools &amp; Databases Called:</w:t>
      </w:r>
    </w:p>
    <w:p>
      <w:pPr>
        <w:pStyle w:val="ListParagraph"/>
        <w:numPr>
          <w:ilvl w:val="0"/>
          <w:numId w:val="1"/>
        </w:numPr>
        <w:spacing w:after="100"/>
        <w:ind w:left="720" w:hanging="360"/>
      </w:pPr>
      <w:r>
        <w:t xml:space="preserve">RNAi Design Tool (Genelink, Integrated DNA Technologies): ASO sequence generation with optimization</w:t>
      </w:r>
    </w:p>
    <w:p>
      <w:pPr>
        <w:pStyle w:val="ListParagraph"/>
        <w:numPr>
          <w:ilvl w:val="0"/>
          <w:numId w:val="1"/>
        </w:numPr>
        <w:spacing w:after="100"/>
        <w:ind w:left="720" w:hanging="360"/>
      </w:pPr>
      <w:r>
        <w:t xml:space="preserve">BLAST Off-Target Search: cross-genome specificity screening, conservation analysis</w:t>
      </w:r>
    </w:p>
    <w:p>
      <w:pPr>
        <w:pStyle w:val="ListParagraph"/>
        <w:numPr>
          <w:ilvl w:val="0"/>
          <w:numId w:val="1"/>
        </w:numPr>
        <w:spacing w:after="100"/>
        <w:ind w:left="720" w:hanging="360"/>
      </w:pPr>
      <w:r>
        <w:t xml:space="preserve">mfold &amp; RNAfold: secondary structure prediction, accessibility scoring for target regions</w:t>
      </w:r>
    </w:p>
    <w:p>
      <w:pPr>
        <w:pStyle w:val="ListParagraph"/>
        <w:numPr>
          <w:ilvl w:val="0"/>
          <w:numId w:val="1"/>
        </w:numPr>
        <w:spacing w:after="100"/>
        <w:ind w:left="720" w:hanging="360"/>
      </w:pPr>
      <w:r>
        <w:t xml:space="preserve">ISIS/Ionis Chemical Design Database: known effective ASO motifs and chemical modifications</w:t>
      </w:r>
    </w:p>
    <w:p>
      <w:pPr>
        <w:pStyle w:val="ListParagraph"/>
        <w:numPr>
          <w:ilvl w:val="0"/>
          <w:numId w:val="1"/>
        </w:numPr>
        <w:spacing w:after="100"/>
        <w:ind w:left="720" w:hanging="360"/>
      </w:pPr>
      <w:r>
        <w:t xml:space="preserve">Thermodynamic Modeling: ASO-RNA duplex stability prediction, melting temperature calculation</w:t>
      </w:r>
    </w:p>
    <w:p>
      <w:pPr>
        <w:spacing w:after="100"/>
        <w:jc w:val="left"/>
      </w:pPr>
      <w:r>
        <w:rPr>
          <w:b/>
          <w:bCs/>
        </w:rPr>
        <w:t xml:space="preserve">Exemplary Sub-Prompts:</w:t>
      </w:r>
    </w:p>
    <w:p>
      <w:pPr>
        <w:pStyle w:val="ListParagraph"/>
        <w:numPr>
          <w:ilvl w:val="0"/>
          <w:numId w:val="1"/>
        </w:numPr>
        <w:spacing w:after="100"/>
        <w:ind w:left="720" w:hanging="360"/>
      </w:pPr>
      <w:r>
        <w:t xml:space="preserve">Design 10-15 candidate ASO sequences targeting gene A transcripts with different mechanisms (exon-skipping, knockdown, splicing modulation).</w:t>
      </w:r>
    </w:p>
    <w:p>
      <w:pPr>
        <w:pStyle w:val="ListParagraph"/>
        <w:numPr>
          <w:ilvl w:val="0"/>
          <w:numId w:val="1"/>
        </w:numPr>
        <w:spacing w:after="100"/>
        <w:ind w:left="720" w:hanging="360"/>
      </w:pPr>
      <w:r>
        <w:t xml:space="preserve">Which ASO candidates have the lowest off-target risk across the human genome? Use BLAST alignment for validation.</w:t>
      </w:r>
    </w:p>
    <w:p>
      <w:pPr>
        <w:pStyle w:val="ListParagraph"/>
        <w:numPr>
          <w:ilvl w:val="0"/>
          <w:numId w:val="1"/>
        </w:numPr>
        <w:spacing w:after="100"/>
        <w:ind w:left="720" w:hanging="360"/>
      </w:pPr>
      <w:r>
        <w:t xml:space="preserve">What chemical modifications (2'-O-methyl, phosphorothioate backbones, constrained ethyl) optimize stability and cellular uptake for CNS delivery?</w:t>
      </w:r>
    </w:p>
    <w:p>
      <w:pPr>
        <w:pStyle w:val="ListParagraph"/>
        <w:numPr>
          <w:ilvl w:val="0"/>
          <w:numId w:val="1"/>
        </w:numPr>
        <w:spacing w:after="100"/>
        <w:ind w:left="720" w:hanging="360"/>
      </w:pPr>
      <w:r>
        <w:t xml:space="preserve">How do secondary structure features influence accessibility of proposed target sites?</w:t>
      </w:r>
    </w:p>
    <w:p>
      <w:pPr>
        <w:spacing w:after="100"/>
        <w:jc w:val="left"/>
      </w:pPr>
      <w:r>
        <w:rPr>
          <w:b/>
          <w:bCs/>
        </w:rPr>
        <w:t xml:space="preserve">Expected Outputs:</w:t>
      </w:r>
    </w:p>
    <w:p>
      <w:pPr>
        <w:pStyle w:val="ListParagraph"/>
        <w:numPr>
          <w:ilvl w:val="0"/>
          <w:numId w:val="1"/>
        </w:numPr>
        <w:spacing w:after="100"/>
        <w:ind w:left="720" w:hanging="360"/>
      </w:pPr>
      <w:r>
        <w:t xml:space="preserve">Library of 10-15 candidate ASO sequences with detailed annotations (target transcript, position, mechanism)</w:t>
      </w:r>
    </w:p>
    <w:p>
      <w:pPr>
        <w:pStyle w:val="ListParagraph"/>
        <w:numPr>
          <w:ilvl w:val="0"/>
          <w:numId w:val="1"/>
        </w:numPr>
        <w:spacing w:after="100"/>
        <w:ind w:left="720" w:hanging="360"/>
      </w:pPr>
      <w:r>
        <w:t xml:space="preserve">Off-target prediction matrix (specificity scores per candidate, mismatches to related genes)</w:t>
      </w:r>
    </w:p>
    <w:p>
      <w:pPr>
        <w:pStyle w:val="ListParagraph"/>
        <w:numPr>
          <w:ilvl w:val="0"/>
          <w:numId w:val="1"/>
        </w:numPr>
        <w:spacing w:after="100"/>
        <w:ind w:left="720" w:hanging="360"/>
      </w:pPr>
      <w:r>
        <w:t xml:space="preserve">Recommended modifications and chemical backbone specifications for each candidate</w:t>
      </w:r>
    </w:p>
    <w:p>
      <w:pPr>
        <w:pStyle w:val="ListParagraph"/>
        <w:numPr>
          <w:ilvl w:val="0"/>
          <w:numId w:val="1"/>
        </w:numPr>
        <w:spacing w:after="100"/>
        <w:ind w:left="720" w:hanging="360"/>
      </w:pPr>
      <w:r>
        <w:t xml:space="preserve">Thermodynamic analysis (Tm, duplex stability predictions for optimal ASO-RNA pairing)</w:t>
      </w:r>
    </w:p>
    <w:p>
      <w:pPr>
        <w:spacing w:after="200"/>
        <w:jc w:val="left"/>
      </w:pPr>
      <w:r>
        <w:rPr>
          <w:b/>
          <w:bCs/>
        </w:rPr>
        <w:t xml:space="preserve">Format: </w:t>
      </w:r>
      <w:r>
        <w:t xml:space="preserve">Excel with columns: ASO_Sequence, Target_Transcript, Target_Position, Mechanism, Off_Target_Risk_Score, Predicted_Tm_Celsius, Recommended_Modifications, Synthesis_Feasibility.</w:t>
      </w:r>
    </w:p>
    <w:p>
      <w:pPr>
        <w:pStyle w:val="Heading2"/>
        <w:pStyle w:val="Heading2"/>
        <w:spacing w:after="200" w:before="200"/>
      </w:pPr>
      <w:r>
        <w:t xml:space="preserve">Stage 3: In Vitro Efficacy Testing in Neuronal Models</w:t>
      </w:r>
    </w:p>
    <w:p>
      <w:pPr>
        <w:spacing w:after="200"/>
        <w:jc w:val="left"/>
      </w:pPr>
      <w:r>
        <w:rPr>
          <w:b/>
          <w:bCs/>
        </w:rPr>
        <w:t xml:space="preserve">Purpose: </w:t>
      </w:r>
      <w:r>
        <w:t xml:space="preserve">Validate ASO efficacy using Quiver's EP phenotyping in patient-relevant neuronal models (iPSC-derived neurons or primary cortical neurons from patient tissue).</w:t>
      </w:r>
    </w:p>
    <w:p>
      <w:pPr>
        <w:spacing w:after="100"/>
        <w:jc w:val="left"/>
      </w:pPr>
      <w:r>
        <w:rPr>
          <w:b/>
          <w:bCs/>
        </w:rPr>
        <w:t xml:space="preserve">Inputs:</w:t>
      </w:r>
    </w:p>
    <w:p>
      <w:pPr>
        <w:pStyle w:val="ListParagraph"/>
        <w:numPr>
          <w:ilvl w:val="0"/>
          <w:numId w:val="1"/>
        </w:numPr>
        <w:spacing w:after="100"/>
        <w:ind w:left="720" w:hanging="360"/>
      </w:pPr>
      <w:r>
        <w:t xml:space="preserve">Candidate ASO sequences (from Stage 2)</w:t>
      </w:r>
    </w:p>
    <w:p>
      <w:pPr>
        <w:pStyle w:val="ListParagraph"/>
        <w:numPr>
          <w:ilvl w:val="0"/>
          <w:numId w:val="1"/>
        </w:numPr>
        <w:spacing w:after="100"/>
        <w:ind w:left="720" w:hanging="360"/>
      </w:pPr>
      <w:r>
        <w:t xml:space="preserve">Disease-relevant neuronal models (patient iPSC-derived neurons or patient primary neurons if available)</w:t>
      </w:r>
    </w:p>
    <w:p>
      <w:pPr>
        <w:pStyle w:val="ListParagraph"/>
        <w:numPr>
          <w:ilvl w:val="0"/>
          <w:numId w:val="1"/>
        </w:numPr>
        <w:spacing w:after="100"/>
        <w:ind w:left="720" w:hanging="360"/>
      </w:pPr>
      <w:r>
        <w:t xml:space="preserve">Baseline EP phenotype for untreated neurons and target gene knockdown controls</w:t>
      </w:r>
    </w:p>
    <w:p>
      <w:pPr>
        <w:spacing w:after="100"/>
        <w:jc w:val="left"/>
      </w:pPr>
      <w:r>
        <w:rPr>
          <w:b/>
          <w:bCs/>
        </w:rPr>
        <w:t xml:space="preserve">Tools &amp; Databases Called:</w:t>
      </w:r>
    </w:p>
    <w:p>
      <w:pPr>
        <w:pStyle w:val="ListParagraph"/>
        <w:numPr>
          <w:ilvl w:val="0"/>
          <w:numId w:val="1"/>
        </w:numPr>
        <w:spacing w:after="100"/>
        <w:ind w:left="720" w:hanging="360"/>
      </w:pPr>
      <w:r>
        <w:t xml:space="preserve">Sapphire Electrophysiology Platform: EP recording and phenotyping with standardized protocol</w:t>
      </w:r>
    </w:p>
    <w:p>
      <w:pPr>
        <w:pStyle w:val="ListParagraph"/>
        <w:numPr>
          <w:ilvl w:val="0"/>
          <w:numId w:val="1"/>
        </w:numPr>
        <w:spacing w:after="100"/>
        <w:ind w:left="720" w:hanging="360"/>
      </w:pPr>
      <w:r>
        <w:t xml:space="preserve">qRT-PCR / RNA-seq: mRNA knockdown quantification, transcript confirmation, off-target assessment</w:t>
      </w:r>
    </w:p>
    <w:p>
      <w:pPr>
        <w:pStyle w:val="ListParagraph"/>
        <w:numPr>
          <w:ilvl w:val="0"/>
          <w:numId w:val="1"/>
        </w:numPr>
        <w:spacing w:after="100"/>
        <w:ind w:left="720" w:hanging="360"/>
      </w:pPr>
      <w:r>
        <w:t xml:space="preserve">Protein Quantification (Western blot, immunofluorescence, ELISA): protein level assessment, functional validation</w:t>
      </w:r>
    </w:p>
    <w:p>
      <w:pPr>
        <w:pStyle w:val="ListParagraph"/>
        <w:numPr>
          <w:ilvl w:val="0"/>
          <w:numId w:val="1"/>
        </w:numPr>
        <w:spacing w:after="100"/>
        <w:ind w:left="720" w:hanging="360"/>
      </w:pPr>
      <w:r>
        <w:t xml:space="preserve">Statistical Modeling: IC50/EC50 estimation for ASO dose-response curves</w:t>
      </w:r>
    </w:p>
    <w:p>
      <w:pPr>
        <w:pStyle w:val="ListParagraph"/>
        <w:numPr>
          <w:ilvl w:val="0"/>
          <w:numId w:val="1"/>
        </w:numPr>
        <w:spacing w:after="100"/>
        <w:ind w:left="720" w:hanging="360"/>
      </w:pPr>
      <w:r>
        <w:t xml:space="preserve">Phenotypic Rescue Scoring: EP feature comparison (disease vs. treated vs. corrected control)</w:t>
      </w:r>
    </w:p>
    <w:p>
      <w:pPr>
        <w:spacing w:after="100"/>
        <w:jc w:val="left"/>
      </w:pPr>
      <w:r>
        <w:rPr>
          <w:b/>
          <w:bCs/>
        </w:rPr>
        <w:t xml:space="preserve">Exemplary Sub-Prompts:</w:t>
      </w:r>
    </w:p>
    <w:p>
      <w:pPr>
        <w:pStyle w:val="ListParagraph"/>
        <w:numPr>
          <w:ilvl w:val="0"/>
          <w:numId w:val="1"/>
        </w:numPr>
        <w:spacing w:after="100"/>
        <w:ind w:left="720" w:hanging="360"/>
      </w:pPr>
      <w:r>
        <w:t xml:space="preserve">Which ASO candidate achieves the highest mRNA knockdown (&gt;70%) at lowest concentration?</w:t>
      </w:r>
    </w:p>
    <w:p>
      <w:pPr>
        <w:pStyle w:val="ListParagraph"/>
        <w:numPr>
          <w:ilvl w:val="0"/>
          <w:numId w:val="1"/>
        </w:numPr>
        <w:spacing w:after="100"/>
        <w:ind w:left="720" w:hanging="360"/>
      </w:pPr>
      <w:r>
        <w:t xml:space="preserve">Does ASO treatment reverse the disease-associated EP phenotype in patient neurons? Quantify phenotypic rescue percentage.</w:t>
      </w:r>
    </w:p>
    <w:p>
      <w:pPr>
        <w:pStyle w:val="ListParagraph"/>
        <w:numPr>
          <w:ilvl w:val="0"/>
          <w:numId w:val="1"/>
        </w:numPr>
        <w:spacing w:after="100"/>
        <w:ind w:left="720" w:hanging="360"/>
      </w:pPr>
      <w:r>
        <w:t xml:space="preserve">What is the IC50 and off-target effect profile for lead ASO candidates? Are any off-targets problematic?</w:t>
      </w:r>
    </w:p>
    <w:p>
      <w:pPr>
        <w:pStyle w:val="ListParagraph"/>
        <w:numPr>
          <w:ilvl w:val="0"/>
          <w:numId w:val="1"/>
        </w:numPr>
        <w:spacing w:after="100"/>
        <w:ind w:left="720" w:hanging="360"/>
      </w:pPr>
      <w:r>
        <w:t xml:space="preserve">Is there a dose-response relationship? At what concentration is maximal efficacy achieved without toxicity?</w:t>
      </w:r>
    </w:p>
    <w:p>
      <w:pPr>
        <w:spacing w:after="100"/>
        <w:jc w:val="left"/>
      </w:pPr>
      <w:r>
        <w:rPr>
          <w:b/>
          <w:bCs/>
        </w:rPr>
        <w:t xml:space="preserve">Expected Outputs:</w:t>
      </w:r>
    </w:p>
    <w:p>
      <w:pPr>
        <w:pStyle w:val="ListParagraph"/>
        <w:numPr>
          <w:ilvl w:val="0"/>
          <w:numId w:val="1"/>
        </w:numPr>
        <w:spacing w:after="100"/>
        <w:ind w:left="720" w:hanging="360"/>
      </w:pPr>
      <w:r>
        <w:t xml:space="preserve">ASO efficacy ranking (% mRNA knockdown, protein reduction %, phenotypic rescue metrics)</w:t>
      </w:r>
    </w:p>
    <w:p>
      <w:pPr>
        <w:pStyle w:val="ListParagraph"/>
        <w:numPr>
          <w:ilvl w:val="0"/>
          <w:numId w:val="1"/>
        </w:numPr>
        <w:spacing w:after="100"/>
        <w:ind w:left="720" w:hanging="360"/>
      </w:pPr>
      <w:r>
        <w:t xml:space="preserve">Dose-response curves and IC50/EC50 values with 95% confidence intervals</w:t>
      </w:r>
    </w:p>
    <w:p>
      <w:pPr>
        <w:pStyle w:val="ListParagraph"/>
        <w:numPr>
          <w:ilvl w:val="0"/>
          <w:numId w:val="1"/>
        </w:numPr>
        <w:spacing w:after="100"/>
        <w:ind w:left="720" w:hanging="360"/>
      </w:pPr>
      <w:r>
        <w:t xml:space="preserve">EP phenotype reversal metrics (% recovery toward wild-type, statistical significance testing)</w:t>
      </w:r>
    </w:p>
    <w:p>
      <w:pPr>
        <w:pStyle w:val="ListParagraph"/>
        <w:numPr>
          <w:ilvl w:val="0"/>
          <w:numId w:val="1"/>
        </w:numPr>
        <w:spacing w:after="100"/>
        <w:ind w:left="720" w:hanging="360"/>
      </w:pPr>
      <w:r>
        <w:t xml:space="preserve">Off-target effect assessment (unintended transcript knockdown, cellular toxicity markers)</w:t>
      </w:r>
    </w:p>
    <w:p>
      <w:pPr>
        <w:spacing w:after="200"/>
        <w:jc w:val="left"/>
      </w:pPr>
      <w:r>
        <w:rPr>
          <w:b/>
          <w:bCs/>
        </w:rPr>
        <w:t xml:space="preserve">Format: </w:t>
      </w:r>
      <w:r>
        <w:t xml:space="preserve">Data tables with efficacy metrics, annotated dose-response plots, phenotypic rescue summary with statistical tests.</w:t>
      </w:r>
    </w:p>
    <w:p>
      <w:pPr>
        <w:pStyle w:val="Heading2"/>
        <w:pStyle w:val="Heading2"/>
        <w:spacing w:after="200" w:before="200"/>
      </w:pPr>
      <w:r>
        <w:t xml:space="preserve">Stage 4: Preclinical Safety &amp; Toxicology Assessment</w:t>
      </w:r>
    </w:p>
    <w:p>
      <w:pPr>
        <w:spacing w:after="200"/>
        <w:jc w:val="left"/>
      </w:pPr>
      <w:r>
        <w:rPr>
          <w:b/>
          <w:bCs/>
        </w:rPr>
        <w:t xml:space="preserve">Purpose: </w:t>
      </w:r>
      <w:r>
        <w:t xml:space="preserve">Predict and experimentally validate preclinical safety profile, including off-target effects, immune activation, and organ toxicity potential.</w:t>
      </w:r>
    </w:p>
    <w:p>
      <w:pPr>
        <w:spacing w:after="100"/>
        <w:jc w:val="left"/>
      </w:pPr>
      <w:r>
        <w:rPr>
          <w:b/>
          <w:bCs/>
        </w:rPr>
        <w:t xml:space="preserve">Inputs:</w:t>
      </w:r>
    </w:p>
    <w:p>
      <w:pPr>
        <w:pStyle w:val="ListParagraph"/>
        <w:numPr>
          <w:ilvl w:val="0"/>
          <w:numId w:val="1"/>
        </w:numPr>
        <w:spacing w:after="100"/>
        <w:ind w:left="720" w:hanging="360"/>
      </w:pPr>
      <w:r>
        <w:t xml:space="preserve">Lead ASO candidate(s) (from Stage 3)</w:t>
      </w:r>
    </w:p>
    <w:p>
      <w:pPr>
        <w:pStyle w:val="ListParagraph"/>
        <w:numPr>
          <w:ilvl w:val="0"/>
          <w:numId w:val="1"/>
        </w:numPr>
        <w:spacing w:after="100"/>
        <w:ind w:left="720" w:hanging="360"/>
      </w:pPr>
      <w:r>
        <w:t xml:space="preserve">Off-target binding predictions (from Stage 2)</w:t>
      </w:r>
    </w:p>
    <w:p>
      <w:pPr>
        <w:pStyle w:val="ListParagraph"/>
        <w:numPr>
          <w:ilvl w:val="0"/>
          <w:numId w:val="1"/>
        </w:numPr>
        <w:spacing w:after="100"/>
        <w:ind w:left="720" w:hanging="360"/>
      </w:pPr>
      <w:r>
        <w:t xml:space="preserve">Chemical modification strategy and manufacturing specifications</w:t>
      </w:r>
    </w:p>
    <w:p>
      <w:pPr>
        <w:spacing w:after="100"/>
        <w:jc w:val="left"/>
      </w:pPr>
      <w:r>
        <w:rPr>
          <w:b/>
          <w:bCs/>
        </w:rPr>
        <w:t xml:space="preserve">Tools &amp; Databases Called:</w:t>
      </w:r>
    </w:p>
    <w:p>
      <w:pPr>
        <w:pStyle w:val="ListParagraph"/>
        <w:numPr>
          <w:ilvl w:val="0"/>
          <w:numId w:val="1"/>
        </w:numPr>
        <w:spacing w:after="100"/>
        <w:ind w:left="720" w:hanging="360"/>
      </w:pPr>
      <w:r>
        <w:t xml:space="preserve">Immune Activation Predictor: TLR3/7/8 sensing risk, innate immune response modeling</w:t>
      </w:r>
    </w:p>
    <w:p>
      <w:pPr>
        <w:pStyle w:val="ListParagraph"/>
        <w:numPr>
          <w:ilvl w:val="0"/>
          <w:numId w:val="1"/>
        </w:numPr>
        <w:spacing w:after="100"/>
        <w:ind w:left="720" w:hanging="360"/>
      </w:pPr>
      <w:r>
        <w:t xml:space="preserve">Hepatotoxicity Prediction: ASO-induced liver enzyme induction, drug transporter interactions</w:t>
      </w:r>
    </w:p>
    <w:p>
      <w:pPr>
        <w:pStyle w:val="ListParagraph"/>
        <w:numPr>
          <w:ilvl w:val="0"/>
          <w:numId w:val="1"/>
        </w:numPr>
        <w:spacing w:after="100"/>
        <w:ind w:left="720" w:hanging="360"/>
      </w:pPr>
      <w:r>
        <w:t xml:space="preserve">Nephrotoxicity Assessment: kidney accumulation models (particularly relevant for CNS-targeting ASOs with systemic exposure)</w:t>
      </w:r>
    </w:p>
    <w:p>
      <w:pPr>
        <w:pStyle w:val="ListParagraph"/>
        <w:numPr>
          <w:ilvl w:val="0"/>
          <w:numId w:val="1"/>
        </w:numPr>
        <w:spacing w:after="100"/>
        <w:ind w:left="720" w:hanging="360"/>
      </w:pPr>
      <w:r>
        <w:t xml:space="preserve">Genomic Safety Analysis: antisense RNA binding prediction to unintended mRNA targets</w:t>
      </w:r>
    </w:p>
    <w:p>
      <w:pPr>
        <w:pStyle w:val="ListParagraph"/>
        <w:numPr>
          <w:ilvl w:val="0"/>
          <w:numId w:val="1"/>
        </w:numPr>
        <w:spacing w:after="100"/>
        <w:ind w:left="720" w:hanging="360"/>
      </w:pPr>
      <w:r>
        <w:t xml:space="preserve">Historical Toxicology Database: adverse event profiles from approved ASOs (Spinraza, Zolgensma, Eteplirsen)</w:t>
      </w:r>
    </w:p>
    <w:p>
      <w:pPr>
        <w:spacing w:after="100"/>
        <w:jc w:val="left"/>
      </w:pPr>
      <w:r>
        <w:rPr>
          <w:b/>
          <w:bCs/>
        </w:rPr>
        <w:t xml:space="preserve">Exemplary Sub-Prompts:</w:t>
      </w:r>
    </w:p>
    <w:p>
      <w:pPr>
        <w:pStyle w:val="ListParagraph"/>
        <w:numPr>
          <w:ilvl w:val="0"/>
          <w:numId w:val="1"/>
        </w:numPr>
        <w:spacing w:after="100"/>
        <w:ind w:left="720" w:hanging="360"/>
      </w:pPr>
      <w:r>
        <w:t xml:space="preserve">What is the predicted risk of immune activation (TLR3/7/8 signaling) for this ASO? How does chemical modification mitigate risk?</w:t>
      </w:r>
    </w:p>
    <w:p>
      <w:pPr>
        <w:pStyle w:val="ListParagraph"/>
        <w:numPr>
          <w:ilvl w:val="0"/>
          <w:numId w:val="1"/>
        </w:numPr>
        <w:spacing w:after="100"/>
        <w:ind w:left="720" w:hanging="360"/>
      </w:pPr>
      <w:r>
        <w:t xml:space="preserve">Are there predicted hepatic or renal safety liabilities? Do similar ASOs have safety precedent?</w:t>
      </w:r>
    </w:p>
    <w:p>
      <w:pPr>
        <w:pStyle w:val="ListParagraph"/>
        <w:numPr>
          <w:ilvl w:val="0"/>
          <w:numId w:val="1"/>
        </w:numPr>
        <w:spacing w:after="100"/>
        <w:ind w:left="720" w:hanging="360"/>
      </w:pPr>
      <w:r>
        <w:t xml:space="preserve">What are the key toxicology study requirements for IND: single-dose toxicity, repeat-dose toxicity, genotoxicity, reproductive toxicity?</w:t>
      </w:r>
    </w:p>
    <w:p>
      <w:pPr>
        <w:pStyle w:val="ListParagraph"/>
        <w:numPr>
          <w:ilvl w:val="0"/>
          <w:numId w:val="1"/>
        </w:numPr>
        <w:spacing w:after="100"/>
        <w:ind w:left="720" w:hanging="360"/>
      </w:pPr>
      <w:r>
        <w:t xml:space="preserve">Which GLP (Good Laboratory Practice) studies are critical path items vs. those that can proceed post-IND?</w:t>
      </w:r>
    </w:p>
    <w:p>
      <w:pPr>
        <w:spacing w:after="100"/>
        <w:jc w:val="left"/>
      </w:pPr>
      <w:r>
        <w:rPr>
          <w:b/>
          <w:bCs/>
        </w:rPr>
        <w:t xml:space="preserve">Expected Outputs:</w:t>
      </w:r>
    </w:p>
    <w:p>
      <w:pPr>
        <w:pStyle w:val="ListParagraph"/>
        <w:numPr>
          <w:ilvl w:val="0"/>
          <w:numId w:val="1"/>
        </w:numPr>
        <w:spacing w:after="100"/>
        <w:ind w:left="720" w:hanging="360"/>
      </w:pPr>
      <w:r>
        <w:t xml:space="preserve">Safety assessment report: immune activation risk (low/medium/high) with supporting evidence</w:t>
      </w:r>
    </w:p>
    <w:p>
      <w:pPr>
        <w:pStyle w:val="ListParagraph"/>
        <w:numPr>
          <w:ilvl w:val="0"/>
          <w:numId w:val="1"/>
        </w:numPr>
        <w:spacing w:after="100"/>
        <w:ind w:left="720" w:hanging="360"/>
      </w:pPr>
      <w:r>
        <w:t xml:space="preserve">Organ-specific toxicity predictions (liver, kidney, CNS) with risk confidence levels</w:t>
      </w:r>
    </w:p>
    <w:p>
      <w:pPr>
        <w:pStyle w:val="ListParagraph"/>
        <w:numPr>
          <w:ilvl w:val="0"/>
          <w:numId w:val="1"/>
        </w:numPr>
        <w:spacing w:after="100"/>
        <w:ind w:left="720" w:hanging="360"/>
      </w:pPr>
      <w:r>
        <w:t xml:space="preserve">Recommendations for preclinical GLP toxicology study design (species selection, dose range, endpoints)</w:t>
      </w:r>
    </w:p>
    <w:p>
      <w:pPr>
        <w:pStyle w:val="ListParagraph"/>
        <w:numPr>
          <w:ilvl w:val="0"/>
          <w:numId w:val="1"/>
        </w:numPr>
        <w:spacing w:after="100"/>
        <w:ind w:left="720" w:hanging="360"/>
      </w:pPr>
      <w:r>
        <w:t xml:space="preserve">Timeline estimate for completing IND-enabling toxicology package (typically 9-18 months)</w:t>
      </w:r>
    </w:p>
    <w:p>
      <w:pPr>
        <w:spacing w:after="200"/>
        <w:jc w:val="left"/>
      </w:pPr>
      <w:r>
        <w:rPr>
          <w:b/>
          <w:bCs/>
        </w:rPr>
        <w:t xml:space="preserve">Format: </w:t>
      </w:r>
      <w:r>
        <w:t xml:space="preserve">Safety assessment report with risk matrices, off-target effect summary, recommended GLP study parameters, timeline projection.</w:t>
      </w:r>
    </w:p>
    <w:p>
      <w:pPr>
        <w:pStyle w:val="Heading2"/>
        <w:pStyle w:val="Heading2"/>
        <w:spacing w:after="200" w:before="200"/>
      </w:pPr>
      <w:r>
        <w:t xml:space="preserve">Stage 5: Manufacturing Feasibility &amp; Scale-Up Assessment</w:t>
      </w:r>
    </w:p>
    <w:p>
      <w:pPr>
        <w:spacing w:after="200"/>
        <w:jc w:val="left"/>
      </w:pPr>
      <w:r>
        <w:rPr>
          <w:b/>
          <w:bCs/>
        </w:rPr>
        <w:t xml:space="preserve">Purpose: </w:t>
      </w:r>
      <w:r>
        <w:t xml:space="preserve">Evaluate manufacturing feasibility, cost projections, scale-up timeline, and regulatory compliance for GMP production.</w:t>
      </w:r>
    </w:p>
    <w:p>
      <w:pPr>
        <w:spacing w:after="100"/>
        <w:jc w:val="left"/>
      </w:pPr>
      <w:r>
        <w:rPr>
          <w:b/>
          <w:bCs/>
        </w:rPr>
        <w:t xml:space="preserve">Inputs:</w:t>
      </w:r>
    </w:p>
    <w:p>
      <w:pPr>
        <w:pStyle w:val="ListParagraph"/>
        <w:numPr>
          <w:ilvl w:val="0"/>
          <w:numId w:val="1"/>
        </w:numPr>
        <w:spacing w:after="100"/>
        <w:ind w:left="720" w:hanging="360"/>
      </w:pPr>
      <w:r>
        <w:t xml:space="preserve">Lead ASO sequence and chemical specifications (from Stage 3-4)</w:t>
      </w:r>
    </w:p>
    <w:p>
      <w:pPr>
        <w:pStyle w:val="ListParagraph"/>
        <w:numPr>
          <w:ilvl w:val="0"/>
          <w:numId w:val="1"/>
        </w:numPr>
        <w:spacing w:after="100"/>
        <w:ind w:left="720" w:hanging="360"/>
      </w:pPr>
      <w:r>
        <w:t xml:space="preserve">Clinical dosing projections (mg/kg/dose, frequency, patient population size)</w:t>
      </w:r>
    </w:p>
    <w:p>
      <w:pPr>
        <w:pStyle w:val="ListParagraph"/>
        <w:numPr>
          <w:ilvl w:val="0"/>
          <w:numId w:val="1"/>
        </w:numPr>
        <w:spacing w:after="100"/>
        <w:ind w:left="720" w:hanging="360"/>
      </w:pPr>
      <w:r>
        <w:t xml:space="preserve">Manufacturing complexity and existing ASO production capability</w:t>
      </w:r>
    </w:p>
    <w:p>
      <w:pPr>
        <w:spacing w:after="100"/>
        <w:jc w:val="left"/>
      </w:pPr>
      <w:r>
        <w:rPr>
          <w:b/>
          <w:bCs/>
        </w:rPr>
        <w:t xml:space="preserve">Tools &amp; Databases Called:</w:t>
      </w:r>
    </w:p>
    <w:p>
      <w:pPr>
        <w:pStyle w:val="ListParagraph"/>
        <w:numPr>
          <w:ilvl w:val="0"/>
          <w:numId w:val="1"/>
        </w:numPr>
        <w:spacing w:after="100"/>
        <w:ind w:left="720" w:hanging="360"/>
      </w:pPr>
      <w:r>
        <w:t xml:space="preserve">ASO Synthesis Technology Provider Database: Genelink, Ionis, IDT, Synthetic Genomics capabilities and timelines</w:t>
      </w:r>
    </w:p>
    <w:p>
      <w:pPr>
        <w:pStyle w:val="ListParagraph"/>
        <w:numPr>
          <w:ilvl w:val="0"/>
          <w:numId w:val="1"/>
        </w:numPr>
        <w:spacing w:after="100"/>
        <w:ind w:left="720" w:hanging="360"/>
      </w:pPr>
      <w:r>
        <w:t xml:space="preserve">GMP Manufacturing Standards: ICH Q7, USP standards for API and drug product manufacturing</w:t>
      </w:r>
    </w:p>
    <w:p>
      <w:pPr>
        <w:pStyle w:val="ListParagraph"/>
        <w:numPr>
          <w:ilvl w:val="0"/>
          <w:numId w:val="1"/>
        </w:numPr>
        <w:spacing w:after="100"/>
        <w:ind w:left="720" w:hanging="360"/>
      </w:pPr>
      <w:r>
        <w:t xml:space="preserve">Cost Modeling: API synthesis, formulation, drug product manufacturing, QC testing</w:t>
      </w:r>
    </w:p>
    <w:p>
      <w:pPr>
        <w:pStyle w:val="ListParagraph"/>
        <w:numPr>
          <w:ilvl w:val="0"/>
          <w:numId w:val="1"/>
        </w:numPr>
        <w:spacing w:after="100"/>
        <w:ind w:left="720" w:hanging="360"/>
      </w:pPr>
      <w:r>
        <w:t xml:space="preserve">Scale-Up Timeline: bench optimization to pilot to GMP batch production estimation</w:t>
      </w:r>
    </w:p>
    <w:p>
      <w:pPr>
        <w:pStyle w:val="ListParagraph"/>
        <w:numPr>
          <w:ilvl w:val="0"/>
          <w:numId w:val="1"/>
        </w:numPr>
        <w:spacing w:after="100"/>
        <w:ind w:left="720" w:hanging="360"/>
      </w:pPr>
      <w:r>
        <w:t xml:space="preserve">Regulatory CMC Guidance: FDA ASO guidance documents, CHMP PRAC requirements</w:t>
      </w:r>
    </w:p>
    <w:p>
      <w:pPr>
        <w:spacing w:after="100"/>
        <w:jc w:val="left"/>
      </w:pPr>
      <w:r>
        <w:rPr>
          <w:b/>
          <w:bCs/>
        </w:rPr>
        <w:t xml:space="preserve">Exemplary Sub-Prompts:</w:t>
      </w:r>
    </w:p>
    <w:p>
      <w:pPr>
        <w:pStyle w:val="ListParagraph"/>
        <w:numPr>
          <w:ilvl w:val="0"/>
          <w:numId w:val="1"/>
        </w:numPr>
        <w:spacing w:after="100"/>
        <w:ind w:left="720" w:hanging="360"/>
      </w:pPr>
      <w:r>
        <w:t xml:space="preserve">What is the estimated API manufacturing cost per gram at different scales (1g bench, 100g pilot, 1kg GMP, 10kg commercial)?</w:t>
      </w:r>
    </w:p>
    <w:p>
      <w:pPr>
        <w:pStyle w:val="ListParagraph"/>
        <w:numPr>
          <w:ilvl w:val="0"/>
          <w:numId w:val="1"/>
        </w:numPr>
        <w:spacing w:after="100"/>
        <w:ind w:left="720" w:hanging="360"/>
      </w:pPr>
      <w:r>
        <w:t xml:space="preserve">How long would it take to achieve GMP-grade manufacturing for first IND dose (good manufacturing practice compliance)?</w:t>
      </w:r>
    </w:p>
    <w:p>
      <w:pPr>
        <w:pStyle w:val="ListParagraph"/>
        <w:numPr>
          <w:ilvl w:val="0"/>
          <w:numId w:val="1"/>
        </w:numPr>
        <w:spacing w:after="100"/>
        <w:ind w:left="720" w:hanging="360"/>
      </w:pPr>
      <w:r>
        <w:t xml:space="preserve">What are the main manufacturing risks or bottlenecks for this ASO chemistry? Mitigation strategies?</w:t>
      </w:r>
    </w:p>
    <w:p>
      <w:pPr>
        <w:pStyle w:val="ListParagraph"/>
        <w:numPr>
          <w:ilvl w:val="0"/>
          <w:numId w:val="1"/>
        </w:numPr>
        <w:spacing w:after="100"/>
        <w:ind w:left="720" w:hanging="360"/>
      </w:pPr>
      <w:r>
        <w:t xml:space="preserve">Can analytical methods (purity, identity, potency) be developed in parallel with manufacturing scale-up?</w:t>
      </w:r>
    </w:p>
    <w:p>
      <w:pPr>
        <w:spacing w:after="100"/>
        <w:jc w:val="left"/>
      </w:pPr>
      <w:r>
        <w:rPr>
          <w:b/>
          <w:bCs/>
        </w:rPr>
        <w:t xml:space="preserve">Expected Outputs:</w:t>
      </w:r>
    </w:p>
    <w:p>
      <w:pPr>
        <w:pStyle w:val="ListParagraph"/>
        <w:numPr>
          <w:ilvl w:val="0"/>
          <w:numId w:val="1"/>
        </w:numPr>
        <w:spacing w:after="100"/>
        <w:ind w:left="720" w:hanging="360"/>
      </w:pPr>
      <w:r>
        <w:t xml:space="preserve">Manufacturing feasibility assessment (low/medium/high risk) with justification</w:t>
      </w:r>
    </w:p>
    <w:p>
      <w:pPr>
        <w:pStyle w:val="ListParagraph"/>
        <w:numPr>
          <w:ilvl w:val="0"/>
          <w:numId w:val="1"/>
        </w:numPr>
        <w:spacing w:after="100"/>
        <w:ind w:left="720" w:hanging="360"/>
      </w:pPr>
      <w:r>
        <w:t xml:space="preserve">Cost projections by production scale and GMP status ($/gram estimates)</w:t>
      </w:r>
    </w:p>
    <w:p>
      <w:pPr>
        <w:pStyle w:val="ListParagraph"/>
        <w:numPr>
          <w:ilvl w:val="0"/>
          <w:numId w:val="1"/>
        </w:numPr>
        <w:spacing w:after="100"/>
        <w:ind w:left="720" w:hanging="360"/>
      </w:pPr>
      <w:r>
        <w:t xml:space="preserve">Realistic scale-up timeline: bench optimization (3-6 months) → pilot (3-6 months) → GMP (6-12 months)</w:t>
      </w:r>
    </w:p>
    <w:p>
      <w:pPr>
        <w:pStyle w:val="ListParagraph"/>
        <w:numPr>
          <w:ilvl w:val="0"/>
          <w:numId w:val="1"/>
        </w:numPr>
        <w:spacing w:after="100"/>
        <w:ind w:left="720" w:hanging="360"/>
      </w:pPr>
      <w:r>
        <w:t xml:space="preserve">Critical CMC documentation roadmap (analytical method development, stability studies, impurity characterization)</w:t>
      </w:r>
    </w:p>
    <w:p>
      <w:pPr>
        <w:spacing w:after="200"/>
        <w:jc w:val="left"/>
      </w:pPr>
      <w:r>
        <w:rPr>
          <w:b/>
          <w:bCs/>
        </w:rPr>
        <w:t xml:space="preserve">Format: </w:t>
      </w:r>
      <w:r>
        <w:t xml:space="preserve">Manufacturing assessment report with cost tables, timeline Gantt chart, critical path analysis, CMC checklist.</w:t>
      </w:r>
    </w:p>
    <w:p>
      <w:pPr>
        <w:pStyle w:val="Heading2"/>
        <w:pStyle w:val="Heading2"/>
        <w:spacing w:after="200" w:before="200"/>
      </w:pPr>
      <w:r>
        <w:t xml:space="preserve">Stage 6: IND Timeline &amp; Regulatory Pathway Estimation</w:t>
      </w:r>
    </w:p>
    <w:p>
      <w:pPr>
        <w:spacing w:after="200"/>
        <w:jc w:val="left"/>
      </w:pPr>
      <w:r>
        <w:rPr>
          <w:b/>
          <w:bCs/>
        </w:rPr>
        <w:t xml:space="preserve">Purpose: </w:t>
      </w:r>
      <w:r>
        <w:t xml:space="preserve">Integrate Stage 1-5 outputs into a realistic IND submission timeline, accounting for preclinical studies, CMC documentation, and regulatory strategy.</w:t>
      </w:r>
    </w:p>
    <w:p>
      <w:pPr>
        <w:spacing w:after="100"/>
        <w:jc w:val="left"/>
      </w:pPr>
      <w:r>
        <w:rPr>
          <w:b/>
          <w:bCs/>
        </w:rPr>
        <w:t xml:space="preserve">Inputs:</w:t>
      </w:r>
    </w:p>
    <w:p>
      <w:pPr>
        <w:pStyle w:val="ListParagraph"/>
        <w:numPr>
          <w:ilvl w:val="0"/>
          <w:numId w:val="1"/>
        </w:numPr>
        <w:spacing w:after="100"/>
        <w:ind w:left="720" w:hanging="360"/>
      </w:pPr>
      <w:r>
        <w:t xml:space="preserve">Efficacy validation summary (Stage 3)</w:t>
      </w:r>
    </w:p>
    <w:p>
      <w:pPr>
        <w:pStyle w:val="ListParagraph"/>
        <w:numPr>
          <w:ilvl w:val="0"/>
          <w:numId w:val="1"/>
        </w:numPr>
        <w:spacing w:after="100"/>
        <w:ind w:left="720" w:hanging="360"/>
      </w:pPr>
      <w:r>
        <w:t xml:space="preserve">Preclinical safety profile and toxicology recommendations (Stage 4)</w:t>
      </w:r>
    </w:p>
    <w:p>
      <w:pPr>
        <w:pStyle w:val="ListParagraph"/>
        <w:numPr>
          <w:ilvl w:val="0"/>
          <w:numId w:val="1"/>
        </w:numPr>
        <w:spacing w:after="100"/>
        <w:ind w:left="720" w:hanging="360"/>
      </w:pPr>
      <w:r>
        <w:t xml:space="preserve">Manufacturing &amp; GMP readiness assessment (Stage 5)</w:t>
      </w:r>
    </w:p>
    <w:p>
      <w:pPr>
        <w:pStyle w:val="ListParagraph"/>
        <w:numPr>
          <w:ilvl w:val="0"/>
          <w:numId w:val="1"/>
        </w:numPr>
        <w:spacing w:after="100"/>
        <w:ind w:left="720" w:hanging="360"/>
      </w:pPr>
      <w:r>
        <w:t xml:space="preserve">Regulatory precedent for similar antisense therapeutics</w:t>
      </w:r>
    </w:p>
    <w:p>
      <w:pPr>
        <w:spacing w:after="100"/>
        <w:jc w:val="left"/>
      </w:pPr>
      <w:r>
        <w:rPr>
          <w:b/>
          <w:bCs/>
        </w:rPr>
        <w:t xml:space="preserve">Tools &amp; Databases Called:</w:t>
      </w:r>
    </w:p>
    <w:p>
      <w:pPr>
        <w:pStyle w:val="ListParagraph"/>
        <w:numPr>
          <w:ilvl w:val="0"/>
          <w:numId w:val="1"/>
        </w:numPr>
        <w:spacing w:after="100"/>
        <w:ind w:left="720" w:hanging="360"/>
      </w:pPr>
      <w:r>
        <w:t xml:space="preserve">FDA Guidance Documents: IND Application, Preclinical Safety Assessment, CMC Guidelines for oligonucleotides</w:t>
      </w:r>
    </w:p>
    <w:p>
      <w:pPr>
        <w:pStyle w:val="ListParagraph"/>
        <w:numPr>
          <w:ilvl w:val="0"/>
          <w:numId w:val="1"/>
        </w:numPr>
        <w:spacing w:after="100"/>
        <w:ind w:left="720" w:hanging="360"/>
      </w:pPr>
      <w:r>
        <w:t xml:space="preserve">Clinical Trial Database: historical timelines for antisense IND submissions (Spinraza, Zolgensma, Eteplirsen, others)</w:t>
      </w:r>
    </w:p>
    <w:p>
      <w:pPr>
        <w:pStyle w:val="ListParagraph"/>
        <w:numPr>
          <w:ilvl w:val="0"/>
          <w:numId w:val="1"/>
        </w:numPr>
        <w:spacing w:after="100"/>
        <w:ind w:left="720" w:hanging="360"/>
      </w:pPr>
      <w:r>
        <w:t xml:space="preserve">Regulatory Pathway Analyzer: orphan drug pathway, breakthrough therapy designation eligibility, accelerated approval potential</w:t>
      </w:r>
    </w:p>
    <w:p>
      <w:pPr>
        <w:pStyle w:val="ListParagraph"/>
        <w:numPr>
          <w:ilvl w:val="0"/>
          <w:numId w:val="1"/>
        </w:numPr>
        <w:spacing w:after="100"/>
        <w:ind w:left="720" w:hanging="360"/>
      </w:pPr>
      <w:r>
        <w:t xml:space="preserve">Risk Assessment Framework: critical path analysis, dependency mapping, contingency planning</w:t>
      </w:r>
    </w:p>
    <w:p>
      <w:pPr>
        <w:pStyle w:val="ListParagraph"/>
        <w:numPr>
          <w:ilvl w:val="0"/>
          <w:numId w:val="1"/>
        </w:numPr>
        <w:spacing w:after="100"/>
        <w:ind w:left="720" w:hanging="360"/>
      </w:pPr>
      <w:r>
        <w:t xml:space="preserve">Expert Regulatory Consultation Database: FDA pre-IND meeting minutes, Type B meeting records for similar programs</w:t>
      </w:r>
    </w:p>
    <w:p>
      <w:pPr>
        <w:spacing w:after="100"/>
        <w:jc w:val="left"/>
      </w:pPr>
      <w:r>
        <w:rPr>
          <w:b/>
          <w:bCs/>
        </w:rPr>
        <w:t xml:space="preserve">Exemplary Sub-Prompts:</w:t>
      </w:r>
    </w:p>
    <w:p>
      <w:pPr>
        <w:pStyle w:val="ListParagraph"/>
        <w:numPr>
          <w:ilvl w:val="0"/>
          <w:numId w:val="1"/>
        </w:numPr>
        <w:spacing w:after="100"/>
        <w:ind w:left="720" w:hanging="360"/>
      </w:pPr>
      <w:r>
        <w:t xml:space="preserve">What is the critical path to IND submission for this rare neurodegeneration ASO?</w:t>
      </w:r>
    </w:p>
    <w:p>
      <w:pPr>
        <w:pStyle w:val="ListParagraph"/>
        <w:numPr>
          <w:ilvl w:val="0"/>
          <w:numId w:val="1"/>
        </w:numPr>
        <w:spacing w:after="100"/>
        <w:ind w:left="720" w:hanging="360"/>
      </w:pPr>
      <w:r>
        <w:t xml:space="preserve">Which preclinical studies must be completed before IND, and which can proceed in parallel post-IND initiation?</w:t>
      </w:r>
    </w:p>
    <w:p>
      <w:pPr>
        <w:pStyle w:val="ListParagraph"/>
        <w:numPr>
          <w:ilvl w:val="0"/>
          <w:numId w:val="1"/>
        </w:numPr>
        <w:spacing w:after="100"/>
        <w:ind w:left="720" w:hanging="360"/>
      </w:pPr>
      <w:r>
        <w:t xml:space="preserve">Is orphan drug designation or breakthrough therapy designation feasible? What are the eligibility criteria?</w:t>
      </w:r>
    </w:p>
    <w:p>
      <w:pPr>
        <w:pStyle w:val="ListParagraph"/>
        <w:numPr>
          <w:ilvl w:val="0"/>
          <w:numId w:val="1"/>
        </w:numPr>
        <w:spacing w:after="100"/>
        <w:ind w:left="720" w:hanging="360"/>
      </w:pPr>
      <w:r>
        <w:t xml:space="preserve">What is a realistic overall timeline from now (Stage 0) to IND submission? What are the rate-limiting steps?</w:t>
      </w:r>
    </w:p>
    <w:p>
      <w:pPr>
        <w:spacing w:after="100"/>
        <w:jc w:val="left"/>
      </w:pPr>
      <w:r>
        <w:rPr>
          <w:b/>
          <w:bCs/>
        </w:rPr>
        <w:t xml:space="preserve">Expected Outputs:</w:t>
      </w:r>
    </w:p>
    <w:p>
      <w:pPr>
        <w:pStyle w:val="ListParagraph"/>
        <w:numPr>
          <w:ilvl w:val="0"/>
          <w:numId w:val="1"/>
        </w:numPr>
        <w:spacing w:after="100"/>
        <w:ind w:left="720" w:hanging="360"/>
      </w:pPr>
      <w:r>
        <w:t xml:space="preserve">Integrated IND timeline (12-24 month projection from now to IND submission)</w:t>
      </w:r>
    </w:p>
    <w:p>
      <w:pPr>
        <w:pStyle w:val="ListParagraph"/>
        <w:numPr>
          <w:ilvl w:val="0"/>
          <w:numId w:val="1"/>
        </w:numPr>
        <w:spacing w:after="100"/>
        <w:ind w:left="720" w:hanging="360"/>
      </w:pPr>
      <w:r>
        <w:t xml:space="preserve">Regulatory milestone chart: Preclinical (IND-enabling toxicology, PK, manufacturing), CMC package, clinical protocol, safety database</w:t>
      </w:r>
    </w:p>
    <w:p>
      <w:pPr>
        <w:pStyle w:val="ListParagraph"/>
        <w:numPr>
          <w:ilvl w:val="0"/>
          <w:numId w:val="1"/>
        </w:numPr>
        <w:spacing w:after="100"/>
        <w:ind w:left="720" w:hanging="360"/>
      </w:pPr>
      <w:r>
        <w:t xml:space="preserve">Risk mitigation strategies and contingency timeline (if preclinical delays occur, alternative options)</w:t>
      </w:r>
    </w:p>
    <w:p>
      <w:pPr>
        <w:pStyle w:val="ListParagraph"/>
        <w:numPr>
          <w:ilvl w:val="0"/>
          <w:numId w:val="1"/>
        </w:numPr>
        <w:spacing w:after="100"/>
        <w:ind w:left="720" w:hanging="360"/>
      </w:pPr>
      <w:r>
        <w:t xml:space="preserve">Regulatory strategy recommendation (standard IND vs. expedited pathway, pre-IND meeting agenda)</w:t>
      </w:r>
    </w:p>
    <w:p>
      <w:pPr>
        <w:spacing w:after="200"/>
        <w:jc w:val="left"/>
      </w:pPr>
      <w:r>
        <w:rPr>
          <w:b/>
          <w:bCs/>
        </w:rPr>
        <w:t xml:space="preserve">Format: </w:t>
      </w:r>
      <w:r>
        <w:t xml:space="preserve">Executive summary with timeline Gantt chart, detailed regulatory pathway document, risk-contingency analysis, pre-IND meeting talking points.</w:t>
      </w:r>
    </w:p>
    <w:p>
      <w:pPr>
        <w:pStyle w:val="Heading2"/>
        <w:pStyle w:val="Heading2"/>
        <w:spacing w:after="200" w:before="200"/>
      </w:pPr>
      <w:r>
        <w:t xml:space="preserve">Tools &amp; Databases Summary</w:t>
      </w:r>
    </w:p>
    <w:p>
      <w:pPr>
        <w:pStyle w:val="ListParagraph"/>
        <w:numPr>
          <w:ilvl w:val="0"/>
          <w:numId w:val="1"/>
        </w:numPr>
        <w:spacing w:after="100"/>
        <w:ind w:left="720" w:hanging="360"/>
      </w:pPr>
      <w:r>
        <w:t xml:space="preserve">NCBI RefSeq &amp; Ensembl: transcript database, genomic annotation, exon-intron structure</w:t>
      </w:r>
    </w:p>
    <w:p>
      <w:pPr>
        <w:pStyle w:val="ListParagraph"/>
        <w:numPr>
          <w:ilvl w:val="0"/>
          <w:numId w:val="1"/>
        </w:numPr>
        <w:spacing w:after="100"/>
        <w:ind w:left="720" w:hanging="360"/>
      </w:pPr>
      <w:r>
        <w:t xml:space="preserve">UCSC Genome Browser: splice variant prediction, conservation analysis, regulatory region mapping</w:t>
      </w:r>
    </w:p>
    <w:p>
      <w:pPr>
        <w:pStyle w:val="ListParagraph"/>
        <w:numPr>
          <w:ilvl w:val="0"/>
          <w:numId w:val="1"/>
        </w:numPr>
        <w:spacing w:after="100"/>
        <w:ind w:left="720" w:hanging="360"/>
      </w:pPr>
      <w:r>
        <w:t xml:space="preserve">ClinVar Database: disease-associated variant interpretation, functional evidence</w:t>
      </w:r>
    </w:p>
    <w:p>
      <w:pPr>
        <w:pStyle w:val="ListParagraph"/>
        <w:numPr>
          <w:ilvl w:val="0"/>
          <w:numId w:val="1"/>
        </w:numPr>
        <w:spacing w:after="100"/>
        <w:ind w:left="720" w:hanging="360"/>
      </w:pPr>
      <w:r>
        <w:t xml:space="preserve">AnnoVar &amp; Variant Effect Predictor: mutation consequence prediction, loss-of-function scoring</w:t>
      </w:r>
    </w:p>
    <w:p>
      <w:pPr>
        <w:pStyle w:val="ListParagraph"/>
        <w:numPr>
          <w:ilvl w:val="0"/>
          <w:numId w:val="1"/>
        </w:numPr>
        <w:spacing w:after="100"/>
        <w:ind w:left="720" w:hanging="360"/>
      </w:pPr>
      <w:r>
        <w:t xml:space="preserve">UniProt &amp; PDB: protein domain annotation, structure information, functional context</w:t>
      </w:r>
    </w:p>
    <w:p>
      <w:pPr>
        <w:pStyle w:val="ListParagraph"/>
        <w:numPr>
          <w:ilvl w:val="0"/>
          <w:numId w:val="1"/>
        </w:numPr>
        <w:spacing w:after="100"/>
        <w:ind w:left="720" w:hanging="360"/>
      </w:pPr>
      <w:r>
        <w:t xml:space="preserve">RNAi Design Tools (Genelink, IDT): ASO sequence design, optimization, chemical modification specification</w:t>
      </w:r>
    </w:p>
    <w:p>
      <w:pPr>
        <w:pStyle w:val="ListParagraph"/>
        <w:numPr>
          <w:ilvl w:val="0"/>
          <w:numId w:val="1"/>
        </w:numPr>
        <w:spacing w:after="100"/>
        <w:ind w:left="720" w:hanging="360"/>
      </w:pPr>
      <w:r>
        <w:t xml:space="preserve">BLAST &amp; Off-Target Prediction: genome-wide specificity screening, cross-species analysis</w:t>
      </w:r>
    </w:p>
    <w:p>
      <w:pPr>
        <w:pStyle w:val="ListParagraph"/>
        <w:numPr>
          <w:ilvl w:val="0"/>
          <w:numId w:val="1"/>
        </w:numPr>
        <w:spacing w:after="100"/>
        <w:ind w:left="720" w:hanging="360"/>
      </w:pPr>
      <w:r>
        <w:t xml:space="preserve">mfold &amp; RNAfold: RNA secondary structure prediction, ASO accessibility assessment</w:t>
      </w:r>
    </w:p>
    <w:p>
      <w:pPr>
        <w:pStyle w:val="ListParagraph"/>
        <w:numPr>
          <w:ilvl w:val="0"/>
          <w:numId w:val="1"/>
        </w:numPr>
        <w:spacing w:after="100"/>
        <w:ind w:left="720" w:hanging="360"/>
      </w:pPr>
      <w:r>
        <w:t xml:space="preserve">Sapphire Electrophysiology Platform: in vitro efficacy validation, phenotypic rescue quantification</w:t>
      </w:r>
    </w:p>
    <w:p>
      <w:pPr>
        <w:pStyle w:val="ListParagraph"/>
        <w:numPr>
          <w:ilvl w:val="0"/>
          <w:numId w:val="1"/>
        </w:numPr>
        <w:spacing w:after="100"/>
        <w:ind w:left="720" w:hanging="360"/>
      </w:pPr>
      <w:r>
        <w:t xml:space="preserve">qRT-PCR &amp; RNA-seq: transcript knockdown quantification, off-target assessment</w:t>
      </w:r>
    </w:p>
    <w:p>
      <w:pPr>
        <w:pStyle w:val="ListParagraph"/>
        <w:numPr>
          <w:ilvl w:val="0"/>
          <w:numId w:val="1"/>
        </w:numPr>
        <w:spacing w:after="100"/>
        <w:ind w:left="720" w:hanging="360"/>
      </w:pPr>
      <w:r>
        <w:t xml:space="preserve">Immune Activation &amp; Toxicity Predictors: TLR sensing, organ-specific safety assessment</w:t>
      </w:r>
    </w:p>
    <w:p>
      <w:pPr>
        <w:pStyle w:val="ListParagraph"/>
        <w:numPr>
          <w:ilvl w:val="0"/>
          <w:numId w:val="1"/>
        </w:numPr>
        <w:spacing w:after="100"/>
        <w:ind w:left="720" w:hanging="360"/>
      </w:pPr>
      <w:r>
        <w:t xml:space="preserve">GMP Manufacturing Standards &amp; Cost Databases: scale-up feasibility, regulatory compliance, cost estimation</w:t>
      </w:r>
    </w:p>
    <w:p>
      <w:pPr>
        <w:pStyle w:val="ListParagraph"/>
        <w:numPr>
          <w:ilvl w:val="0"/>
          <w:numId w:val="1"/>
        </w:numPr>
        <w:spacing w:after="100"/>
        <w:ind w:left="720" w:hanging="360"/>
      </w:pPr>
      <w:r>
        <w:t xml:space="preserve">FDA Guidance Documents &amp; Clinical Trial Aggregators: regulatory pathway, historical timeline benchmarking</w:t>
      </w:r>
    </w:p>
    <w:p>
      <w:pPr>
        <w:pStyle w:val="ListParagraph"/>
        <w:numPr>
          <w:ilvl w:val="0"/>
          <w:numId w:val="1"/>
        </w:numPr>
        <w:spacing w:after="100"/>
        <w:ind w:left="720" w:hanging="360"/>
      </w:pPr>
      <w:r>
        <w:t xml:space="preserve">Orphan Drug Designation Portal: expedited pathway eligibility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2026-02-27T14:28:58.742Z</dcterms:created>
  <dcterms:modified xsi:type="dcterms:W3CDTF">2026-02-27T14:28:58.742Z</dcterms:modified>
</cp:coreProperties>
</file>

<file path=docProps/custom.xml><?xml version="1.0" encoding="utf-8"?>
<Properties xmlns="http://schemas.openxmlformats.org/officeDocument/2006/custom-properties" xmlns:vt="http://schemas.openxmlformats.org/officeDocument/2006/docPropsVTypes"/>
</file>