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045</w:t>
      </w:r>
    </w:p>
    <w:p>
      <w:pPr>
        <w:pStyle w:val="Heading2"/>
        <w:spacing w:before="200" w:after="160"/>
      </w:pPr>
      <w:r>
        <w:rPr>
          <w:rFonts w:ascii="Arial" w:hAnsi="Arial"/>
          <w:sz w:val="56"/>
        </w:rPr>
        <w:t>Identify FDA-approved molecules that are functionally antipodal to gene X LoF phenotype.</w:t>
      </w:r>
    </w:p>
    <w:p>
      <w:pPr>
        <w:spacing w:after="160"/>
      </w:pPr>
      <w:r>
        <w:rPr>
          <w:rFonts w:ascii="Arial" w:hAnsi="Arial"/>
          <w:sz w:val="48"/>
        </w:rPr>
        <w:t>Pipeline 045 focuses on fda-approved therapeutic candidates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