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047</w:t>
      </w:r>
    </w:p>
    <w:p>
      <w:pPr>
        <w:pStyle w:val="Heading2"/>
        <w:spacing w:before="200" w:after="160"/>
      </w:pPr>
      <w:r>
        <w:rPr>
          <w:rFonts w:ascii="Arial" w:hAnsi="Arial"/>
          <w:sz w:val="56"/>
        </w:rPr>
        <w:t>Propose novel scaffolds structurally similar to compound cluster Y but predicted to improve selectivity.</w:t>
      </w:r>
    </w:p>
    <w:p>
      <w:pPr>
        <w:spacing w:after="160"/>
      </w:pPr>
      <w:r>
        <w:rPr>
          <w:rFonts w:ascii="Arial" w:hAnsi="Arial"/>
          <w:sz w:val="48"/>
        </w:rPr>
        <w:t>Pipeline 047 focuses on scaffold optimization and selectivity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